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03" w:rsidRPr="00CF1703" w:rsidRDefault="00CF1703" w:rsidP="00CF1703">
      <w:pPr>
        <w:spacing w:after="450" w:line="300" w:lineRule="atLeast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CF1703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Нормативно-правовая база независимой оценки качества услуг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  <w:r w:rsidRPr="00CF17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I. Нормативные правовые акты Российской Федерации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1. </w:t>
      </w:r>
      <w:hyperlink r:id="rId5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от 21 июля 2014 г. № 256-ФЗ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 «О внесении изменений в отдельные законодательные акты Российской Федерации по вопросам </w:t>
      </w:r>
      <w:proofErr w:type="gramStart"/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проведения независимой оценки качества оказания услуг</w:t>
      </w:r>
      <w:proofErr w:type="gramEnd"/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организациями в сфере культуры, социального обслуживания, охраны здоровья и образования».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2. </w:t>
      </w:r>
      <w:hyperlink r:id="rId6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Указ Президента Российской Федерации от 7 мая 2012 г. № 597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«О мероприятиях по реализации государственной социальной политики».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</w:t>
      </w:r>
      <w:hyperlink r:id="rId7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Распоряжение Правительства Российской Федерации от 30 марта 2013 г. №487-р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(в ред. распоряжения Правительства РФ от 20.01.2015 г. № 53-р) «Об утверждении плана мероприятий по формированию независимой системы оценки качества работы организаций, оказывающих социальные услуги, на 2013−2015 годы».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</w:t>
      </w:r>
      <w:hyperlink r:id="rId8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14 ноября 2014 г. №1202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оценки».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5. </w:t>
      </w:r>
      <w:hyperlink r:id="rId9" w:tgtFrame="_blank" w:history="1">
        <w:proofErr w:type="gramStart"/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14 ноября 2014 г. №1203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  <w:proofErr w:type="gramEnd"/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6. </w:t>
      </w:r>
      <w:hyperlink r:id="rId10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24 ноября 2014 г.  № 1239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«Об утверждении правил размещения и обновления информации о поставщике социальных услуг на официальном сайте поставщика социальных услуг в </w:t>
      </w:r>
      <w:proofErr w:type="spellStart"/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информациионно</w:t>
      </w:r>
      <w:proofErr w:type="spellEnd"/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-телекоммуникационной сети «Интернет».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3E84"/>
          <w:sz w:val="24"/>
          <w:szCs w:val="24"/>
          <w:u w:val="single"/>
          <w:bdr w:val="none" w:sz="0" w:space="0" w:color="auto" w:frame="1"/>
          <w:lang w:eastAsia="ru-RU"/>
        </w:rPr>
        <w:t>7. </w:t>
      </w:r>
      <w:hyperlink r:id="rId11" w:tgtFrame="_blank" w:history="1">
        <w:r w:rsidRPr="00CF1703">
          <w:rPr>
            <w:rFonts w:ascii="Arial" w:eastAsia="Times New Roman" w:hAnsi="Arial" w:cs="Arial"/>
            <w:color w:val="003E84"/>
            <w:sz w:val="18"/>
            <w:szCs w:val="18"/>
            <w:bdr w:val="none" w:sz="0" w:space="0" w:color="auto" w:frame="1"/>
            <w:lang w:eastAsia="ru-RU"/>
          </w:rPr>
          <w:t>Порядок регистрации уполномоченных органов и их представителей на официальном сайте для размещения информации о государственных и муниципальных учреждения в сети "интернет" bus.gov.ru</w:t>
        </w:r>
      </w:hyperlink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8. </w:t>
      </w:r>
      <w:hyperlink r:id="rId12" w:tgtFrame="_blank" w:history="1">
        <w:r w:rsidRPr="00CF1703">
          <w:rPr>
            <w:rFonts w:ascii="inherit" w:eastAsia="Times New Roman" w:hAnsi="inherit" w:cs="Times New Roman"/>
            <w:color w:val="003E84"/>
            <w:sz w:val="18"/>
            <w:szCs w:val="18"/>
            <w:u w:val="single"/>
            <w:bdr w:val="none" w:sz="0" w:space="0" w:color="auto" w:frame="1"/>
            <w:lang w:eastAsia="ru-RU"/>
          </w:rPr>
          <w:t>ФОРМИРОВАНИЕ НЕЗАВИСИМОЙ СИСТЕМЫ ОЦЕНКИ КАЧЕСТВА РАБОТЫ ОРГАНИЗАЦИЙ, ОКАЗЫВАЮЩИХ СОЦИАЛЬНЫЕ УСЛУГИ</w:t>
        </w:r>
      </w:hyperlink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Times New Roman"/>
          <w:color w:val="003E84"/>
          <w:sz w:val="24"/>
          <w:szCs w:val="24"/>
          <w:bdr w:val="none" w:sz="0" w:space="0" w:color="auto" w:frame="1"/>
          <w:lang w:eastAsia="ru-RU"/>
        </w:rPr>
        <w:t>9. </w:t>
      </w:r>
      <w:hyperlink r:id="rId13" w:tgtFrame="_blank" w:history="1">
        <w:r w:rsidRPr="00CF1703">
          <w:rPr>
            <w:rFonts w:ascii="inherit" w:eastAsia="Times New Roman" w:hAnsi="inherit" w:cs="Times New Roman"/>
            <w:color w:val="003E84"/>
            <w:sz w:val="24"/>
            <w:szCs w:val="24"/>
            <w:bdr w:val="none" w:sz="0" w:space="0" w:color="auto" w:frame="1"/>
            <w:lang w:eastAsia="ru-RU"/>
          </w:rPr>
          <w:t>Функционирование системы независимой оценки качества услуг  в сфере культуры</w:t>
        </w:r>
      </w:hyperlink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  <w:r w:rsidRPr="00CF17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II. Приказы Министерства культуры России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7. </w:t>
      </w:r>
      <w:hyperlink r:id="rId14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Приказ Минкультуры России от 30.09.2013 N 1505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"О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культуры" </w:t>
      </w:r>
    </w:p>
    <w:p w:rsidR="00CF1703" w:rsidRPr="00CF1703" w:rsidRDefault="00CF1703" w:rsidP="00CF1703">
      <w:pPr>
        <w:spacing w:after="24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8. </w:t>
      </w:r>
      <w:hyperlink r:id="rId15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Приказ Минкультуры России от 06.08.2013 N 1091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"Об утверждении Перечня дополнительной необходимой и достоверной информации, предоставляемой гражданам - потребителям услуг о деятельности учреждений культуры, подведомственных Министерству культуры Российской Федерации"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9. </w:t>
      </w:r>
      <w:hyperlink r:id="rId16" w:tgtFrame="_blank" w:history="1">
        <w:proofErr w:type="gramStart"/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Приказ Минкультуры России от 20 февраля 2015 г. № 277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 (направлен на государственную регистрацию в Минюст России).</w:t>
      </w:r>
      <w:proofErr w:type="gramEnd"/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10. </w:t>
      </w:r>
      <w:hyperlink r:id="rId17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Приказ Минкультуры России от 25 февраля 2015 г. № 288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«Об утверждении показателей, характеризующих общие критерии оценки качества оказания услуг организациями культуры».</w:t>
      </w:r>
    </w:p>
    <w:p w:rsidR="00CF1703" w:rsidRPr="00CF1703" w:rsidRDefault="00CF1703" w:rsidP="00CF1703">
      <w:pPr>
        <w:spacing w:after="24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11.  </w:t>
      </w:r>
      <w:hyperlink r:id="rId18" w:tgtFrame="_blank" w:history="1">
        <w:proofErr w:type="gramStart"/>
        <w:r w:rsidRPr="00CF1703">
          <w:rPr>
            <w:rFonts w:ascii="inherit" w:eastAsia="Times New Roman" w:hAnsi="inherit" w:cs="Arial"/>
            <w:color w:val="003E84"/>
            <w:sz w:val="24"/>
            <w:szCs w:val="24"/>
            <w:bdr w:val="none" w:sz="0" w:space="0" w:color="auto" w:frame="1"/>
            <w:lang w:eastAsia="ru-RU"/>
          </w:rPr>
          <w:t>Приказ Минфина России от 22 июля 2015 г. N 116н</w:t>
        </w:r>
      </w:hyperlink>
      <w:r w:rsidRPr="00CF1703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CF170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</w:t>
      </w:r>
      <w:proofErr w:type="gramEnd"/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CF17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I. Приказы Министерства культуры и туризма Республики Мордовия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12. </w:t>
      </w:r>
      <w:hyperlink r:id="rId19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культуры и туризма Республики Мордовия от 04.04.2013 № 79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«Об утверждении Перечня дополнительной необходимой и достоверной информации, предоставляемой гражданам-потребителям услуг о деятельности учреждений культуры и искусства»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13. </w:t>
      </w:r>
      <w:hyperlink r:id="rId20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Приказ Министерства культуры и туризма Республики Мордовия от 04.04.2013 № 79а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«О формировании независимой системы оценки качества деятельности учреждений, оказывающих социальные услуги в сфере культуры» (</w:t>
      </w:r>
      <w:hyperlink r:id="rId21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скачать, </w:t>
        </w:r>
        <w:proofErr w:type="spellStart"/>
      </w:hyperlink>
      <w:hyperlink r:id="rId22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bdr w:val="none" w:sz="0" w:space="0" w:color="auto" w:frame="1"/>
            <w:lang w:eastAsia="ru-RU"/>
          </w:rPr>
          <w:t>docx</w:t>
        </w:r>
        <w:proofErr w:type="spellEnd"/>
      </w:hyperlink>
      <w:hyperlink r:id="rId23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bdr w:val="none" w:sz="0" w:space="0" w:color="auto" w:frame="1"/>
            <w:lang w:eastAsia="ru-RU"/>
          </w:rPr>
          <w:t>.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14. </w:t>
      </w:r>
      <w:hyperlink r:id="rId24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u w:val="single"/>
            <w:bdr w:val="none" w:sz="0" w:space="0" w:color="auto" w:frame="1"/>
            <w:lang w:eastAsia="ru-RU"/>
          </w:rPr>
          <w:t>Приказ </w:t>
        </w:r>
      </w:hyperlink>
      <w:hyperlink r:id="rId25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bdr w:val="none" w:sz="0" w:space="0" w:color="auto" w:frame="1"/>
            <w:lang w:eastAsia="ru-RU"/>
          </w:rPr>
          <w:t>Министерства культуры и туризма Республики Мордовия</w:t>
        </w:r>
      </w:hyperlink>
      <w:hyperlink r:id="rId26" w:tgtFrame="_blank" w:history="1">
        <w:r w:rsidRPr="00CF1703">
          <w:rPr>
            <w:rFonts w:ascii="inherit" w:eastAsia="Times New Roman" w:hAnsi="inherit" w:cs="Arial"/>
            <w:color w:val="003E84"/>
            <w:sz w:val="20"/>
            <w:szCs w:val="20"/>
            <w:bdr w:val="none" w:sz="0" w:space="0" w:color="auto" w:frame="1"/>
            <w:lang w:eastAsia="ru-RU"/>
          </w:rPr>
          <w:t> от 01.04.2013 г. №76</w:t>
        </w:r>
      </w:hyperlink>
      <w:r w:rsidRPr="00CF1703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«О вопросах независимой </w:t>
      </w:r>
      <w:proofErr w:type="gramStart"/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оценки качества работы государственных учреждений культуры</w:t>
      </w:r>
      <w:proofErr w:type="gramEnd"/>
      <w:r w:rsidRPr="00CF170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искусства, образовательных учреждений культуры». Положение об Общественном (экспертном) совете при Министерстве культуры и туризма РМ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CF1703" w:rsidRPr="00CF1703" w:rsidRDefault="00CF1703" w:rsidP="00CF1703">
      <w:pPr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CF1703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15. </w:t>
      </w:r>
      <w:hyperlink r:id="rId27" w:history="1">
        <w:r w:rsidRPr="00CF1703">
          <w:rPr>
            <w:rFonts w:ascii="inherit" w:eastAsia="Times New Roman" w:hAnsi="inherit" w:cs="Arial"/>
            <w:color w:val="003E84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культуры и туризма Республики Мордовия от 28.01.2016 г. № 10</w:t>
        </w:r>
      </w:hyperlink>
      <w:r w:rsidRPr="00CF170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"О внесении изменений в приказ Министра культуры и туризма Республики Мордовия от 01.04.2013 № 76"</w:t>
      </w:r>
    </w:p>
    <w:p w:rsidR="00665366" w:rsidRDefault="00665366">
      <w:bookmarkStart w:id="0" w:name="_GoBack"/>
      <w:bookmarkEnd w:id="0"/>
    </w:p>
    <w:sectPr w:rsidR="0066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3"/>
    <w:rsid w:val="00665366"/>
    <w:rsid w:val="00C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7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7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chel.ru/Upload/files/NPA/zakonculture/POST_PRAV_RF_20141114_1202.rtf" TargetMode="External"/><Relationship Id="rId13" Type="http://schemas.openxmlformats.org/officeDocument/2006/relationships/hyperlink" Target="http://mkrf.ru/upload/mkrf/mkdocs2015/02_06_2015_1.pptx" TargetMode="External"/><Relationship Id="rId18" Type="http://schemas.openxmlformats.org/officeDocument/2006/relationships/hyperlink" Target="http://www.minfin.ru/common/upload/library/2015/08/main/PrikMF116n_ot_220715.pdf" TargetMode="External"/><Relationship Id="rId26" Type="http://schemas.openxmlformats.org/officeDocument/2006/relationships/hyperlink" Target="http://www.mktrm.ru/assets/files/po%20kulture/Prikaz%2076%201.04.13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ktrm.ru/assets/files/po%20kulture/prikaz%2079a.docx" TargetMode="External"/><Relationship Id="rId7" Type="http://schemas.openxmlformats.org/officeDocument/2006/relationships/hyperlink" Target="http://www.culture-chel.ru/Upload/files/NPA/zakonculture/RASP_PRAV_RF_20130330_487.rtf" TargetMode="External"/><Relationship Id="rId12" Type="http://schemas.openxmlformats.org/officeDocument/2006/relationships/hyperlink" Target="http://rosmintrud.ru/nsok/news/110/010213_prezentatciya.ppt" TargetMode="External"/><Relationship Id="rId17" Type="http://schemas.openxmlformats.org/officeDocument/2006/relationships/hyperlink" Target="http://www.culture-chel.ru/Upload/files/NPA/zakonculture/PRIKAZ_MKRF_20150225_288.rtf" TargetMode="External"/><Relationship Id="rId25" Type="http://schemas.openxmlformats.org/officeDocument/2006/relationships/hyperlink" Target="http://www.mktrm.ru/assets/files/po%20kulture/Prikaz%2076%201.04.13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ulture-chel.ru/Upload/files/NPA/zakonculture/PRIKAZ_MKRF_20150220_277.doc" TargetMode="External"/><Relationship Id="rId20" Type="http://schemas.openxmlformats.org/officeDocument/2006/relationships/hyperlink" Target="http://www.mktrm.ru/assets/files/po%20kulture/prikaz%2079a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lture-chel.ru/Upload/files/NPA/zakonculture/UKAZ_PREZ_20120507_597.doc" TargetMode="External"/><Relationship Id="rId11" Type="http://schemas.openxmlformats.org/officeDocument/2006/relationships/hyperlink" Target="http://www.mktrm.ru/assets/files/po%20kulture/bus.gov.ru.zip" TargetMode="External"/><Relationship Id="rId24" Type="http://schemas.openxmlformats.org/officeDocument/2006/relationships/hyperlink" Target="http://www.mktrm.ru/assets/files/po%20kulture/Prikaz%2076%201.04.13(1).doc" TargetMode="External"/><Relationship Id="rId5" Type="http://schemas.openxmlformats.org/officeDocument/2006/relationships/hyperlink" Target="http://www.culture-chel.ru/Upload/files/NPA/zakonculture/FZ_RF_20140721_256.rtf" TargetMode="External"/><Relationship Id="rId15" Type="http://schemas.openxmlformats.org/officeDocument/2006/relationships/hyperlink" Target="http://www.mktrm.ru/assets/files/po%20kulture/Prikaz%20MKRF%20N1091.doc" TargetMode="External"/><Relationship Id="rId23" Type="http://schemas.openxmlformats.org/officeDocument/2006/relationships/hyperlink" Target="http://www.mktrm.ru/assets/files/po%20kulture/prikaz%2079a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ulture-chel.ru/Upload/files/NPA/zakonculture/POST_PRAV_RF_20141124_1239.rtf" TargetMode="External"/><Relationship Id="rId19" Type="http://schemas.openxmlformats.org/officeDocument/2006/relationships/hyperlink" Target="http://www.mktrm.ru/assets/files/po%20kulture/prikaz%207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-chel.ru/Upload/files/NPA/zakonculture/POST_PRAV_RF_20141114_1203.rtf" TargetMode="External"/><Relationship Id="rId14" Type="http://schemas.openxmlformats.org/officeDocument/2006/relationships/hyperlink" Target="http://www.mktrm.ru/assets/files/po%20kulture/PRIKAZ%20MKRF%20N1505.doc" TargetMode="External"/><Relationship Id="rId22" Type="http://schemas.openxmlformats.org/officeDocument/2006/relationships/hyperlink" Target="http://www.mktrm.ru/assets/files/po%20kulture/prikaz%2079a.docx" TargetMode="External"/><Relationship Id="rId27" Type="http://schemas.openxmlformats.org/officeDocument/2006/relationships/hyperlink" Target="http://mktrm.ru/assets/files/Nezavisimaya%20ocenka/Prikaz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2016-08-02T11:02:00Z</dcterms:created>
  <dcterms:modified xsi:type="dcterms:W3CDTF">2016-08-02T11:04:00Z</dcterms:modified>
</cp:coreProperties>
</file>