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8" w:rsidRPr="004B7DC8" w:rsidRDefault="004B7DC8" w:rsidP="004B7D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D464A"/>
          <w:kern w:val="36"/>
          <w:sz w:val="54"/>
          <w:szCs w:val="54"/>
          <w:lang w:eastAsia="ru-RU"/>
        </w:rPr>
      </w:pPr>
      <w:r w:rsidRPr="004B7DC8">
        <w:rPr>
          <w:rFonts w:ascii="Arial" w:eastAsia="Times New Roman" w:hAnsi="Arial" w:cs="Arial"/>
          <w:b/>
          <w:bCs/>
          <w:color w:val="3D464A"/>
          <w:kern w:val="36"/>
          <w:sz w:val="54"/>
          <w:szCs w:val="54"/>
          <w:lang w:eastAsia="ru-RU"/>
        </w:rPr>
        <w:t xml:space="preserve">Употребление модального глагола </w:t>
      </w:r>
      <w:proofErr w:type="spellStart"/>
      <w:r w:rsidRPr="004B7DC8">
        <w:rPr>
          <w:rFonts w:ascii="Arial" w:eastAsia="Times New Roman" w:hAnsi="Arial" w:cs="Arial"/>
          <w:b/>
          <w:bCs/>
          <w:color w:val="3D464A"/>
          <w:kern w:val="36"/>
          <w:sz w:val="54"/>
          <w:szCs w:val="54"/>
          <w:lang w:eastAsia="ru-RU"/>
        </w:rPr>
        <w:t>Should</w:t>
      </w:r>
      <w:proofErr w:type="spellEnd"/>
      <w:r w:rsidRPr="004B7DC8">
        <w:rPr>
          <w:rFonts w:ascii="Arial" w:eastAsia="Times New Roman" w:hAnsi="Arial" w:cs="Arial"/>
          <w:b/>
          <w:bCs/>
          <w:color w:val="3D464A"/>
          <w:kern w:val="36"/>
          <w:sz w:val="54"/>
          <w:szCs w:val="54"/>
          <w:lang w:eastAsia="ru-RU"/>
        </w:rPr>
        <w:t xml:space="preserve"> в английском языке</w:t>
      </w:r>
    </w:p>
    <w:p w:rsidR="004B7DC8" w:rsidRPr="004B7DC8" w:rsidRDefault="004B7DC8" w:rsidP="004B7DC8">
      <w:pPr>
        <w:spacing w:before="27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Модальный глагол </w:t>
      </w:r>
      <w:proofErr w:type="spellStart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Should</w:t>
      </w:r>
      <w:proofErr w:type="spellEnd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 в английском языке, который сегодня будем разбирать, имеет функцию «совет», «рекомендация» и не только</w:t>
      </w:r>
      <w:r>
        <w:rPr>
          <w:rFonts w:ascii="Arial" w:eastAsia="Times New Roman" w:hAnsi="Arial" w:cs="Arial"/>
          <w:color w:val="3D464A"/>
          <w:sz w:val="27"/>
          <w:szCs w:val="27"/>
          <w:lang w:eastAsia="ru-RU"/>
        </w:rPr>
        <w:t>.</w:t>
      </w:r>
    </w:p>
    <w:p w:rsidR="004B7DC8" w:rsidRPr="004B7DC8" w:rsidRDefault="004B7DC8" w:rsidP="004B7DC8">
      <w:pPr>
        <w:spacing w:before="690" w:after="0" w:line="240" w:lineRule="auto"/>
        <w:outlineLvl w:val="1"/>
        <w:rPr>
          <w:rFonts w:ascii="Arial" w:eastAsia="Times New Roman" w:hAnsi="Arial" w:cs="Arial"/>
          <w:color w:val="3D464A"/>
          <w:sz w:val="48"/>
          <w:szCs w:val="48"/>
          <w:lang w:eastAsia="ru-RU"/>
        </w:rPr>
      </w:pPr>
      <w:r w:rsidRPr="004B7DC8">
        <w:rPr>
          <w:rFonts w:ascii="Arial" w:eastAsia="Times New Roman" w:hAnsi="Arial" w:cs="Arial"/>
          <w:color w:val="3D464A"/>
          <w:sz w:val="48"/>
          <w:szCs w:val="48"/>
          <w:lang w:eastAsia="ru-RU"/>
        </w:rPr>
        <w:t xml:space="preserve">Правила употребления модального глагола </w:t>
      </w:r>
      <w:proofErr w:type="spellStart"/>
      <w:r w:rsidRPr="004B7DC8">
        <w:rPr>
          <w:rFonts w:ascii="Arial" w:eastAsia="Times New Roman" w:hAnsi="Arial" w:cs="Arial"/>
          <w:color w:val="3D464A"/>
          <w:sz w:val="48"/>
          <w:szCs w:val="48"/>
          <w:lang w:eastAsia="ru-RU"/>
        </w:rPr>
        <w:t>Should</w:t>
      </w:r>
      <w:proofErr w:type="spellEnd"/>
    </w:p>
    <w:p w:rsidR="004B7DC8" w:rsidRPr="004B7DC8" w:rsidRDefault="004B7DC8" w:rsidP="004B7DC8">
      <w:pPr>
        <w:spacing w:before="405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Этот глагол используется, как </w:t>
      </w:r>
      <w:proofErr w:type="gramStart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правило</w:t>
      </w:r>
      <w:proofErr w:type="gramEnd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 при дачи советов. При помощи него можно выразить свое мнение относительно правильности и целесообразности происходящего. Так как «</w:t>
      </w:r>
      <w:proofErr w:type="spellStart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should</w:t>
      </w:r>
      <w:proofErr w:type="spellEnd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 выражает долженствование, то с его помощью можно выразить и приказ, но в виде настойчивого пожелания. Глагол обычно переводиться как «следует»:</w:t>
      </w:r>
    </w:p>
    <w:p w:rsidR="004B7DC8" w:rsidRPr="004B7DC8" w:rsidRDefault="004B7DC8" w:rsidP="004B7DC8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4B7D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 </w:t>
      </w:r>
      <w:r w:rsidRPr="004B7DC8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следует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подумать над этим.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You </w:t>
      </w:r>
      <w:r w:rsidRPr="004B7DC8">
        <w:rPr>
          <w:rFonts w:ascii="Arial" w:eastAsia="Times New Roman" w:hAnsi="Arial" w:cs="Arial"/>
          <w:b/>
          <w:bCs/>
          <w:color w:val="111111"/>
          <w:sz w:val="27"/>
          <w:szCs w:val="27"/>
          <w:lang w:val="en-US" w:eastAsia="ru-RU"/>
        </w:rPr>
        <w:t>should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 think about it.</w:t>
      </w:r>
    </w:p>
    <w:p w:rsidR="004B7DC8" w:rsidRPr="004B7DC8" w:rsidRDefault="004B7DC8" w:rsidP="004B7DC8">
      <w:pPr>
        <w:spacing w:before="51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«</w:t>
      </w:r>
      <w:proofErr w:type="spellStart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Should</w:t>
      </w:r>
      <w:proofErr w:type="spellEnd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 может переводиться как «должен», но это долженствование гораздо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мягче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, чем в «</w:t>
      </w:r>
      <w:proofErr w:type="spellStart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must</w:t>
      </w:r>
      <w:proofErr w:type="spellEnd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».</w:t>
      </w:r>
    </w:p>
    <w:p w:rsidR="004B7DC8" w:rsidRPr="004B7DC8" w:rsidRDefault="004B7DC8" w:rsidP="004B7DC8">
      <w:pPr>
        <w:spacing w:before="690" w:after="0" w:line="240" w:lineRule="auto"/>
        <w:outlineLvl w:val="1"/>
        <w:rPr>
          <w:rFonts w:ascii="Arial" w:eastAsia="Times New Roman" w:hAnsi="Arial" w:cs="Arial"/>
          <w:color w:val="3D464A"/>
          <w:sz w:val="48"/>
          <w:szCs w:val="48"/>
          <w:lang w:eastAsia="ru-RU"/>
        </w:rPr>
      </w:pPr>
      <w:r w:rsidRPr="004B7DC8">
        <w:rPr>
          <w:rFonts w:ascii="Arial" w:eastAsia="Times New Roman" w:hAnsi="Arial" w:cs="Arial"/>
          <w:color w:val="3D464A"/>
          <w:sz w:val="48"/>
          <w:szCs w:val="48"/>
          <w:lang w:eastAsia="ru-RU"/>
        </w:rPr>
        <w:t xml:space="preserve">Формы модального глагола </w:t>
      </w:r>
      <w:proofErr w:type="spellStart"/>
      <w:r w:rsidRPr="004B7DC8">
        <w:rPr>
          <w:rFonts w:ascii="Arial" w:eastAsia="Times New Roman" w:hAnsi="Arial" w:cs="Arial"/>
          <w:color w:val="3D464A"/>
          <w:sz w:val="48"/>
          <w:szCs w:val="48"/>
          <w:lang w:eastAsia="ru-RU"/>
        </w:rPr>
        <w:t>Should</w:t>
      </w:r>
      <w:proofErr w:type="spellEnd"/>
    </w:p>
    <w:p w:rsidR="004B7DC8" w:rsidRPr="004B7DC8" w:rsidRDefault="004B7DC8" w:rsidP="004B7DC8">
      <w:pPr>
        <w:spacing w:before="405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«</w:t>
      </w:r>
      <w:proofErr w:type="spellStart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Should</w:t>
      </w:r>
      <w:proofErr w:type="spellEnd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 является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самодостаточным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 xml:space="preserve"> модальным глаголом и не нуждается во </w:t>
      </w:r>
      <w:proofErr w:type="gramStart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в</w:t>
      </w:r>
      <w:hyperlink r:id="rId5" w:history="1">
        <w:r w:rsidRPr="004B7DC8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>спомогательных</w:t>
        </w:r>
        <w:proofErr w:type="gramEnd"/>
        <w:r w:rsidRPr="004B7DC8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 xml:space="preserve"> глаголах</w:t>
        </w:r>
      </w:hyperlink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при образовании отрицательных и вопросительных предложений.</w:t>
      </w: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2846"/>
        <w:gridCol w:w="1492"/>
        <w:gridCol w:w="3601"/>
      </w:tblGrid>
      <w:tr w:rsidR="004B7DC8" w:rsidRPr="004B7DC8" w:rsidTr="004B7DC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hd w:val="clear" w:color="auto" w:fill="4FC87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B7DC8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Should</w:t>
            </w:r>
            <w:proofErr w:type="spellEnd"/>
            <w:r w:rsidRPr="004B7DC8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в утвердительной форме</w:t>
            </w:r>
          </w:p>
        </w:tc>
      </w:tr>
      <w:tr w:rsidR="004B7DC8" w:rsidRPr="004B7DC8" w:rsidTr="004B7DC8"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b/>
                <w:bCs/>
                <w:color w:val="8B8E91"/>
                <w:sz w:val="27"/>
                <w:szCs w:val="27"/>
                <w:lang w:eastAsia="ru-RU"/>
              </w:rPr>
              <w:t>Подлежащее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b/>
                <w:bCs/>
                <w:color w:val="8B8E91"/>
                <w:sz w:val="27"/>
                <w:szCs w:val="27"/>
                <w:lang w:eastAsia="ru-RU"/>
              </w:rPr>
              <w:t>Модальный глагол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b/>
                <w:bCs/>
                <w:color w:val="8B8E91"/>
                <w:sz w:val="27"/>
                <w:szCs w:val="27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b/>
                <w:bCs/>
                <w:color w:val="8B8E91"/>
                <w:sz w:val="27"/>
                <w:szCs w:val="27"/>
                <w:lang w:eastAsia="ru-RU"/>
              </w:rPr>
              <w:t>Пример</w:t>
            </w:r>
          </w:p>
        </w:tc>
      </w:tr>
      <w:tr w:rsidR="004B7DC8" w:rsidRPr="004B7DC8" w:rsidTr="004B7DC8"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t>I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You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He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She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It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We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They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</w:pP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should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t>I should forget about it.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Мне следует забыть об этом.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br/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You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should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sleep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more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.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br/>
              <w:t>Тебе следует больше спать.</w:t>
            </w:r>
          </w:p>
        </w:tc>
      </w:tr>
    </w:tbl>
    <w:p w:rsidR="004B7DC8" w:rsidRPr="004B7DC8" w:rsidRDefault="004B7DC8" w:rsidP="004B7DC8">
      <w:pPr>
        <w:spacing w:before="315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</w:t>
      </w: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511"/>
        <w:gridCol w:w="1337"/>
        <w:gridCol w:w="4239"/>
      </w:tblGrid>
      <w:tr w:rsidR="004B7DC8" w:rsidRPr="004B7DC8" w:rsidTr="004B7DC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hd w:val="clear" w:color="auto" w:fill="4FC87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B7DC8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lastRenderedPageBreak/>
              <w:t>Should</w:t>
            </w:r>
            <w:proofErr w:type="spellEnd"/>
            <w:r w:rsidRPr="004B7DC8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в отрицательной форме</w:t>
            </w:r>
          </w:p>
        </w:tc>
      </w:tr>
      <w:tr w:rsidR="004B7DC8" w:rsidRPr="004B7DC8" w:rsidTr="004B7DC8"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  <w:t>Подлежащее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  <w:t>Модальный глагол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  <w:t>Пример</w:t>
            </w:r>
          </w:p>
        </w:tc>
      </w:tr>
      <w:tr w:rsidR="004B7DC8" w:rsidRPr="004B7DC8" w:rsidTr="004B7DC8"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t>I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You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He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She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It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We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They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</w:pP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should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not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shouldn’t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t>I should not (shouldn’t) forget about it.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Мне не следует забывать об этом.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br/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He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should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not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shouldn’t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skip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classes</w:t>
            </w:r>
            <w:proofErr w:type="spellEnd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.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br/>
              <w:t>Ему не следует пропускать занятия.</w:t>
            </w:r>
          </w:p>
        </w:tc>
      </w:tr>
    </w:tbl>
    <w:p w:rsidR="004B7DC8" w:rsidRPr="004B7DC8" w:rsidRDefault="004B7DC8" w:rsidP="004B7DC8">
      <w:pPr>
        <w:spacing w:before="315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Если вы хотите задать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вопрос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, то глагол «</w:t>
      </w:r>
      <w:proofErr w:type="spellStart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should</w:t>
      </w:r>
      <w:proofErr w:type="spellEnd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 выходит на место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перед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подлежащим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(действующим лицом):</w:t>
      </w: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1955"/>
        <w:gridCol w:w="1442"/>
        <w:gridCol w:w="3792"/>
      </w:tblGrid>
      <w:tr w:rsidR="004B7DC8" w:rsidRPr="004B7DC8" w:rsidTr="004B7DC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hd w:val="clear" w:color="auto" w:fill="4FC87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B7DC8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Should</w:t>
            </w:r>
            <w:proofErr w:type="spellEnd"/>
            <w:r w:rsidRPr="004B7DC8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в вопросительной форме</w:t>
            </w:r>
          </w:p>
        </w:tc>
      </w:tr>
      <w:tr w:rsidR="004B7DC8" w:rsidRPr="004B7DC8" w:rsidTr="004B7DC8"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  <w:t>Модальный глагол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  <w:t>Подлежащее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7"/>
                <w:szCs w:val="27"/>
                <w:lang w:eastAsia="ru-RU"/>
              </w:rPr>
              <w:t>Пример</w:t>
            </w:r>
          </w:p>
        </w:tc>
      </w:tr>
      <w:tr w:rsidR="004B7DC8" w:rsidRPr="004B7DC8" w:rsidTr="004B7DC8"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</w:pPr>
            <w:proofErr w:type="spellStart"/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Should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t>I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You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He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She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It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We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They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4B7DC8" w:rsidRPr="004B7DC8" w:rsidRDefault="004B7DC8" w:rsidP="004B7DC8">
            <w:pPr>
              <w:spacing w:after="0" w:line="240" w:lineRule="auto"/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</w:pP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t>Should he come tomorrow?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Ему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t xml:space="preserve"> 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нужно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t xml:space="preserve"> 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приходить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t xml:space="preserve"> 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завтра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t>?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  <w:t>What should I do?</w:t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val="en-US" w:eastAsia="ru-RU"/>
              </w:rPr>
              <w:br/>
            </w:r>
            <w:r w:rsidRPr="004B7DC8">
              <w:rPr>
                <w:rFonts w:ascii="Arial" w:eastAsia="Times New Roman" w:hAnsi="Arial" w:cs="Arial"/>
                <w:color w:val="8B8E91"/>
                <w:sz w:val="24"/>
                <w:szCs w:val="24"/>
                <w:lang w:eastAsia="ru-RU"/>
              </w:rPr>
              <w:t>Что мне следует делать?</w:t>
            </w:r>
          </w:p>
        </w:tc>
      </w:tr>
    </w:tbl>
    <w:p w:rsidR="004B7DC8" w:rsidRPr="004B7DC8" w:rsidRDefault="004B7DC8" w:rsidP="004B7DC8">
      <w:pPr>
        <w:spacing w:before="315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Этот глагол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не склоняется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по лицам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и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числам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и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имеет значения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настоящего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,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будущего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и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прошедшего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 </w:t>
      </w:r>
      <w:r w:rsidRPr="004B7DC8">
        <w:rPr>
          <w:rFonts w:ascii="Arial" w:eastAsia="Times New Roman" w:hAnsi="Arial" w:cs="Arial"/>
          <w:b/>
          <w:bCs/>
          <w:color w:val="3D464A"/>
          <w:sz w:val="27"/>
          <w:szCs w:val="27"/>
          <w:lang w:eastAsia="ru-RU"/>
        </w:rPr>
        <w:t>времени</w:t>
      </w: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.</w:t>
      </w:r>
    </w:p>
    <w:p w:rsidR="004B7DC8" w:rsidRPr="004B7DC8" w:rsidRDefault="004B7DC8" w:rsidP="004B7DC8">
      <w:pPr>
        <w:spacing w:before="270" w:after="0" w:line="240" w:lineRule="auto"/>
        <w:rPr>
          <w:rFonts w:ascii="Arial" w:eastAsia="Times New Roman" w:hAnsi="Arial" w:cs="Arial"/>
          <w:color w:val="3D464A"/>
          <w:sz w:val="27"/>
          <w:szCs w:val="27"/>
          <w:lang w:eastAsia="ru-RU"/>
        </w:rPr>
      </w:pPr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Например, если перед ним идет смысловой глагол в прошедшем времени, то «</w:t>
      </w:r>
      <w:proofErr w:type="spellStart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should</w:t>
      </w:r>
      <w:proofErr w:type="spellEnd"/>
      <w:r w:rsidRPr="004B7DC8">
        <w:rPr>
          <w:rFonts w:ascii="Arial" w:eastAsia="Times New Roman" w:hAnsi="Arial" w:cs="Arial"/>
          <w:color w:val="3D464A"/>
          <w:sz w:val="27"/>
          <w:szCs w:val="27"/>
          <w:lang w:eastAsia="ru-RU"/>
        </w:rPr>
        <w:t>» автоматически соотносится с действием в прошлом.</w:t>
      </w:r>
    </w:p>
    <w:p w:rsidR="004B7DC8" w:rsidRPr="004B7DC8" w:rsidRDefault="004B7DC8" w:rsidP="004B7DC8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We </w:t>
      </w:r>
      <w:r w:rsidRPr="004B7DC8">
        <w:rPr>
          <w:rFonts w:ascii="Arial" w:eastAsia="Times New Roman" w:hAnsi="Arial" w:cs="Arial"/>
          <w:b/>
          <w:bCs/>
          <w:color w:val="111111"/>
          <w:sz w:val="27"/>
          <w:szCs w:val="27"/>
          <w:lang w:val="en-US" w:eastAsia="ru-RU"/>
        </w:rPr>
        <w:t>should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 leave tomorrow.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br/>
      </w:r>
      <w:r w:rsidRPr="004B7D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 </w:t>
      </w:r>
      <w:r w:rsidRPr="004B7DC8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следует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 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уехать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завтра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.</w:t>
      </w:r>
    </w:p>
    <w:p w:rsidR="004B7DC8" w:rsidRDefault="004B7DC8" w:rsidP="004B7DC8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She said that we </w:t>
      </w:r>
      <w:r w:rsidRPr="004B7DC8">
        <w:rPr>
          <w:rFonts w:ascii="Arial" w:eastAsia="Times New Roman" w:hAnsi="Arial" w:cs="Arial"/>
          <w:b/>
          <w:bCs/>
          <w:color w:val="111111"/>
          <w:sz w:val="27"/>
          <w:szCs w:val="27"/>
          <w:lang w:val="en-US" w:eastAsia="ru-RU"/>
        </w:rPr>
        <w:t>should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 go for a swim.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br/>
      </w:r>
      <w:r w:rsidRPr="004B7D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сказала, что нам </w:t>
      </w:r>
      <w:r w:rsidRPr="004B7DC8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стоит</w:t>
      </w:r>
      <w:r w:rsidRPr="004B7D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поплавать.</w:t>
      </w:r>
    </w:p>
    <w:p w:rsidR="006F2CEC" w:rsidRPr="004B7DC8" w:rsidRDefault="006F2CEC" w:rsidP="004B7DC8">
      <w:pPr>
        <w:shd w:val="clear" w:color="auto" w:fill="EDF9F2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Выполните задание!</w:t>
      </w:r>
      <w:bookmarkStart w:id="0" w:name="_GoBack"/>
      <w:bookmarkEnd w:id="0"/>
    </w:p>
    <w:p w:rsidR="007D5078" w:rsidRDefault="006F2CEC">
      <w:r>
        <w:rPr>
          <w:noProof/>
          <w:lang w:eastAsia="ru-RU"/>
        </w:rPr>
        <w:lastRenderedPageBreak/>
        <w:drawing>
          <wp:inline distT="0" distB="0" distL="0" distR="0" wp14:anchorId="368F82D1" wp14:editId="26029C34">
            <wp:extent cx="5940425" cy="8400680"/>
            <wp:effectExtent l="0" t="0" r="3175" b="635"/>
            <wp:docPr id="1" name="Рисунок 1" descr="https://sun9-8.userapi.com/impg/QUH2H5xlqhBXGM4tuqBi_scOP5uUtjvrtLR4AA/l7Ych4ms7NE.jpg?size=763x1079&amp;quality=96&amp;proxy=1&amp;sign=c69ede0d240ff78c4adac82571c279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.userapi.com/impg/QUH2H5xlqhBXGM4tuqBi_scOP5uUtjvrtLR4AA/l7Ych4ms7NE.jpg?size=763x1079&amp;quality=96&amp;proxy=1&amp;sign=c69ede0d240ff78c4adac82571c279c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19"/>
    <w:rsid w:val="004B7DC8"/>
    <w:rsid w:val="006F2CEC"/>
    <w:rsid w:val="007D5078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938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71781660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132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173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englishdom.com/blog/glagoly-v-anglijskom-yazy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2</cp:revision>
  <dcterms:created xsi:type="dcterms:W3CDTF">2020-12-08T11:29:00Z</dcterms:created>
  <dcterms:modified xsi:type="dcterms:W3CDTF">2020-12-08T11:44:00Z</dcterms:modified>
</cp:coreProperties>
</file>