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BF48F0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ПРАВЛЕНИЕ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социальной работе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Большеберезниковского муниципального района</w:t>
      </w:r>
    </w:p>
    <w:p w:rsidR="00580FD5" w:rsidRPr="00A44B2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ПРИКАЗ</w:t>
      </w:r>
    </w:p>
    <w:p w:rsidR="00580FD5" w:rsidRPr="00BF48F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580FD5" w:rsidRDefault="007B7C8C" w:rsidP="00580FD5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 16</w:t>
      </w:r>
      <w:r w:rsidR="00580FD5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="008C0F66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12</w:t>
      </w:r>
      <w:r w:rsidR="00580FD5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.2020 г.                                                                                         №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94</w:t>
      </w: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5F40D4" w:rsidRDefault="005F40D4" w:rsidP="005F4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80FD5" w:rsidRPr="00A83E2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от 29.05.2020г. № 294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п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орядка предоставления поддержки социально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ориентированным некоммерческим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организациям на реализацию проекта по обеспечению развития системы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дополнительного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образования детей посредством внедрения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механизма персонифицированного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финансирования 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Большеберезниковском муниципальном районе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580FD5" w:rsidRPr="00A83E29">
        <w:rPr>
          <w:rFonts w:ascii="Times New Roman" w:hAnsi="Times New Roman" w:cs="Times New Roman"/>
          <w:sz w:val="24"/>
          <w:szCs w:val="24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</w:t>
      </w:r>
      <w:proofErr w:type="gramEnd"/>
    </w:p>
    <w:p w:rsidR="00580FD5" w:rsidRPr="00580FD5" w:rsidRDefault="00580FD5" w:rsidP="00580F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80FD5" w:rsidRPr="00A83E29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Провести конкурсный отбор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Конкурс).</w:t>
      </w:r>
    </w:p>
    <w:p w:rsidR="00580FD5" w:rsidRPr="00A83E29" w:rsidRDefault="00AB79BB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работе с учреждениями образования администрации</w:t>
      </w:r>
      <w:r w:rsidR="00580FD5" w:rsidRPr="00A83E29">
        <w:rPr>
          <w:rFonts w:ascii="Times New Roman" w:hAnsi="Times New Roman" w:cs="Times New Roman"/>
          <w:sz w:val="24"/>
          <w:szCs w:val="24"/>
        </w:rPr>
        <w:t>: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2.1. в срок до </w:t>
      </w:r>
      <w:r w:rsidR="007B7C8C">
        <w:rPr>
          <w:rFonts w:ascii="Times New Roman" w:hAnsi="Times New Roman" w:cs="Times New Roman"/>
          <w:sz w:val="24"/>
          <w:szCs w:val="24"/>
        </w:rPr>
        <w:t>17</w:t>
      </w:r>
      <w:r w:rsidR="00AB79BB">
        <w:rPr>
          <w:rFonts w:ascii="Times New Roman" w:hAnsi="Times New Roman" w:cs="Times New Roman"/>
          <w:sz w:val="24"/>
          <w:szCs w:val="24"/>
        </w:rPr>
        <w:t xml:space="preserve"> </w:t>
      </w:r>
      <w:r w:rsidR="007B7C8C">
        <w:rPr>
          <w:rFonts w:ascii="Times New Roman" w:hAnsi="Times New Roman" w:cs="Times New Roman"/>
          <w:sz w:val="24"/>
          <w:szCs w:val="24"/>
        </w:rPr>
        <w:t>декабря</w:t>
      </w:r>
      <w:r w:rsidR="00AB79BB">
        <w:rPr>
          <w:rFonts w:ascii="Times New Roman" w:hAnsi="Times New Roman" w:cs="Times New Roman"/>
          <w:sz w:val="24"/>
          <w:szCs w:val="24"/>
        </w:rPr>
        <w:t xml:space="preserve"> 2</w:t>
      </w:r>
      <w:r w:rsidR="007B7C8C">
        <w:rPr>
          <w:rFonts w:ascii="Times New Roman" w:hAnsi="Times New Roman" w:cs="Times New Roman"/>
          <w:sz w:val="24"/>
          <w:szCs w:val="24"/>
        </w:rPr>
        <w:t>021</w:t>
      </w:r>
      <w:r w:rsidRPr="00A83E29">
        <w:rPr>
          <w:rFonts w:ascii="Times New Roman" w:hAnsi="Times New Roman" w:cs="Times New Roman"/>
          <w:sz w:val="24"/>
          <w:szCs w:val="24"/>
        </w:rPr>
        <w:t xml:space="preserve"> года обеспечить размещение на официальном сайте </w:t>
      </w:r>
      <w:r w:rsidR="00AB79BB">
        <w:rPr>
          <w:rFonts w:ascii="Times New Roman" w:hAnsi="Times New Roman" w:cs="Times New Roman"/>
          <w:sz w:val="24"/>
          <w:szCs w:val="24"/>
        </w:rPr>
        <w:t>отдела по работе с учреждениями образования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объявления о проведении Конкурса в соответствии с Приложением 1.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2.2. в срок </w:t>
      </w:r>
      <w:r w:rsidRPr="00566C8C">
        <w:rPr>
          <w:rFonts w:ascii="Times New Roman" w:hAnsi="Times New Roman" w:cs="Times New Roman"/>
          <w:sz w:val="24"/>
          <w:szCs w:val="24"/>
        </w:rPr>
        <w:t xml:space="preserve">до </w:t>
      </w:r>
      <w:r w:rsidR="007B7C8C">
        <w:rPr>
          <w:rFonts w:ascii="Times New Roman" w:hAnsi="Times New Roman" w:cs="Times New Roman"/>
          <w:sz w:val="24"/>
          <w:szCs w:val="24"/>
        </w:rPr>
        <w:t>22</w:t>
      </w:r>
      <w:r w:rsidR="00566C8C" w:rsidRPr="00566C8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B7C8C">
        <w:rPr>
          <w:rFonts w:ascii="Times New Roman" w:hAnsi="Times New Roman" w:cs="Times New Roman"/>
          <w:sz w:val="24"/>
          <w:szCs w:val="24"/>
        </w:rPr>
        <w:t>2021</w:t>
      </w:r>
      <w:r w:rsidRPr="00566C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обеспечить проведение Конкурса, подведение его итогов и извещение победителей о результатах Конкурса.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</w:t>
      </w:r>
      <w:r w:rsidR="00AB79BB">
        <w:rPr>
          <w:rFonts w:ascii="Times New Roman" w:hAnsi="Times New Roman" w:cs="Times New Roman"/>
          <w:sz w:val="24"/>
          <w:szCs w:val="24"/>
        </w:rPr>
        <w:t>Управления по социальной работе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по проведению Конкурса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(далее – конкурсная комиссия) в соответствии с Приложением 2. 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в соответствии с Приложением 3.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80FD5" w:rsidRDefault="00580FD5" w:rsidP="00940D7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</w:p>
    <w:p w:rsidR="00AB79BB" w:rsidRP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Начальник управления </w:t>
      </w:r>
    </w:p>
    <w:p w:rsidR="00AB79BB" w:rsidRDefault="00AB79BB" w:rsidP="005F40D4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по социальной работе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AB79BB">
        <w:rPr>
          <w:rFonts w:ascii="Times New Roman" w:hAnsi="Times New Roman" w:cs="Times New Roman"/>
          <w:b/>
          <w:sz w:val="24"/>
        </w:rPr>
        <w:t xml:space="preserve">             О.В. Губанищева</w:t>
      </w:r>
    </w:p>
    <w:p w:rsidR="005F40D4" w:rsidRPr="005F40D4" w:rsidRDefault="005F40D4" w:rsidP="005F40D4">
      <w:pPr>
        <w:spacing w:after="0"/>
        <w:rPr>
          <w:rFonts w:ascii="Times New Roman" w:hAnsi="Times New Roman" w:cs="Times New Roman"/>
          <w:b/>
          <w:sz w:val="24"/>
        </w:rPr>
      </w:pPr>
    </w:p>
    <w:p w:rsidR="00940D76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5918B2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Управления </w:t>
      </w:r>
      <w:r w:rsidR="005918B2">
        <w:rPr>
          <w:rFonts w:ascii="Times New Roman" w:hAnsi="Times New Roman" w:cs="Times New Roman"/>
          <w:sz w:val="24"/>
        </w:rPr>
        <w:t>по социальной работе</w:t>
      </w:r>
    </w:p>
    <w:p w:rsidR="00940D76" w:rsidRDefault="005918B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</w:t>
      </w:r>
      <w:r w:rsidR="00940D76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Большеберезниковского</w:t>
      </w:r>
    </w:p>
    <w:p w:rsidR="00940D76" w:rsidRPr="00E56AED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>муниципального района</w:t>
      </w:r>
    </w:p>
    <w:p w:rsidR="00940D76" w:rsidRDefault="003A0CD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 xml:space="preserve">от   </w:t>
      </w:r>
      <w:r w:rsidR="007B7C8C">
        <w:rPr>
          <w:rFonts w:ascii="Times New Roman" w:hAnsi="Times New Roman" w:cs="Times New Roman"/>
          <w:sz w:val="24"/>
        </w:rPr>
        <w:t>16.12</w:t>
      </w:r>
      <w:r w:rsidR="00AB79BB">
        <w:rPr>
          <w:rFonts w:ascii="Times New Roman" w:hAnsi="Times New Roman" w:cs="Times New Roman"/>
          <w:sz w:val="24"/>
        </w:rPr>
        <w:t>.</w:t>
      </w:r>
      <w:r w:rsidR="007B7C8C">
        <w:rPr>
          <w:rFonts w:ascii="Times New Roman" w:hAnsi="Times New Roman" w:cs="Times New Roman"/>
          <w:sz w:val="24"/>
        </w:rPr>
        <w:t>2021</w:t>
      </w:r>
      <w:r w:rsidRPr="00E56AED">
        <w:rPr>
          <w:rFonts w:ascii="Times New Roman" w:hAnsi="Times New Roman" w:cs="Times New Roman"/>
          <w:sz w:val="24"/>
        </w:rPr>
        <w:t xml:space="preserve"> г. №</w:t>
      </w:r>
      <w:r w:rsidR="007B7C8C">
        <w:rPr>
          <w:rFonts w:ascii="Times New Roman" w:hAnsi="Times New Roman" w:cs="Times New Roman"/>
          <w:sz w:val="24"/>
        </w:rPr>
        <w:t xml:space="preserve"> 94</w:t>
      </w:r>
      <w:r w:rsidRPr="00E56AED">
        <w:rPr>
          <w:rFonts w:ascii="Times New Roman" w:hAnsi="Times New Roman" w:cs="Times New Roman"/>
          <w:sz w:val="24"/>
        </w:rPr>
        <w:t xml:space="preserve">  </w:t>
      </w:r>
    </w:p>
    <w:p w:rsidR="00622CD4" w:rsidRDefault="00622CD4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163" w:rsidRPr="00A83E29" w:rsidRDefault="003C6163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76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Pr="006B457C">
        <w:rPr>
          <w:sz w:val="24"/>
          <w:szCs w:val="24"/>
        </w:rPr>
        <w:t xml:space="preserve">на предоставление субсидий из бюджета </w:t>
      </w:r>
      <w:r w:rsidR="00580FD5">
        <w:rPr>
          <w:sz w:val="24"/>
          <w:szCs w:val="24"/>
        </w:rPr>
        <w:t xml:space="preserve">Большеберезниковского </w:t>
      </w:r>
      <w:r>
        <w:rPr>
          <w:sz w:val="24"/>
          <w:szCs w:val="24"/>
        </w:rPr>
        <w:t xml:space="preserve">муниципального района </w:t>
      </w:r>
      <w:r w:rsidRPr="006B457C">
        <w:rPr>
          <w:sz w:val="24"/>
          <w:szCs w:val="24"/>
        </w:rPr>
        <w:t xml:space="preserve">социально ориентированным некоммерческим организациям </w:t>
      </w:r>
      <w:r>
        <w:rPr>
          <w:sz w:val="24"/>
          <w:szCs w:val="24"/>
        </w:rPr>
        <w:t xml:space="preserve">на реализацию проекта по обеспечению развития </w:t>
      </w:r>
      <w:r>
        <w:rPr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sz w:val="24"/>
          <w:szCs w:val="24"/>
        </w:rPr>
        <w:t>персонифицированного финансирования</w:t>
      </w:r>
    </w:p>
    <w:p w:rsidR="00940D76" w:rsidRPr="00686127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B457C">
        <w:rPr>
          <w:sz w:val="24"/>
          <w:szCs w:val="24"/>
        </w:rPr>
        <w:t xml:space="preserve"> в </w:t>
      </w:r>
      <w:r w:rsidR="00580FD5">
        <w:rPr>
          <w:sz w:val="24"/>
          <w:szCs w:val="24"/>
        </w:rPr>
        <w:t>Большеберезниковском</w:t>
      </w:r>
      <w:r>
        <w:rPr>
          <w:sz w:val="24"/>
          <w:szCs w:val="24"/>
        </w:rPr>
        <w:t xml:space="preserve"> муниципальном районе в </w:t>
      </w:r>
      <w:r w:rsidRPr="006B457C">
        <w:rPr>
          <w:sz w:val="24"/>
          <w:szCs w:val="24"/>
        </w:rPr>
        <w:t>20</w:t>
      </w:r>
      <w:r w:rsidR="007B7C8C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6B457C">
        <w:rPr>
          <w:sz w:val="24"/>
          <w:szCs w:val="24"/>
        </w:rPr>
        <w:t>году</w:t>
      </w:r>
    </w:p>
    <w:p w:rsidR="00D5710C" w:rsidRPr="00A83E29" w:rsidRDefault="00D5710C" w:rsidP="00940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10C" w:rsidRPr="00A83E29" w:rsidRDefault="00940D76" w:rsidP="00940D76">
      <w:pPr>
        <w:pStyle w:val="ConsPlusNormal"/>
        <w:tabs>
          <w:tab w:val="left" w:pos="379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940D76" w:rsidRDefault="00940D76" w:rsidP="0094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224579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 w:rsidR="007B7C8C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проводится </w:t>
      </w:r>
      <w:r w:rsidR="005918B2">
        <w:rPr>
          <w:rFonts w:ascii="Times New Roman" w:hAnsi="Times New Roman" w:cs="Times New Roman"/>
          <w:sz w:val="24"/>
          <w:szCs w:val="24"/>
        </w:rPr>
        <w:t xml:space="preserve">Управлением по социальной работе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</w:rPr>
        <w:t xml:space="preserve">в соответствии с порядком </w:t>
      </w:r>
      <w:r w:rsidRPr="002F455B">
        <w:rPr>
          <w:rFonts w:ascii="Times New Roman" w:hAnsi="Times New Roman" w:cs="Times New Roman"/>
          <w:sz w:val="24"/>
          <w:szCs w:val="20"/>
        </w:rPr>
        <w:t>предоставления поддержки социально – ориентированным некоммерческим организациям некоммерческих организаций на реализацию проекта 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F455B">
        <w:rPr>
          <w:rFonts w:ascii="Times New Roman" w:hAnsi="Times New Roman" w:cs="Times New Roman"/>
          <w:sz w:val="24"/>
          <w:szCs w:val="20"/>
        </w:rPr>
        <w:t>персонифицированному финансированию дополнительного</w:t>
      </w:r>
      <w:proofErr w:type="gramEnd"/>
      <w:r w:rsidRPr="002F455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2F455B">
        <w:rPr>
          <w:rFonts w:ascii="Times New Roman" w:hAnsi="Times New Roman" w:cs="Times New Roman"/>
          <w:sz w:val="24"/>
          <w:szCs w:val="20"/>
        </w:rPr>
        <w:t xml:space="preserve">образования детей посредством внедрения механизма персонифицированного финансирования в </w:t>
      </w:r>
      <w:r w:rsidR="00224579">
        <w:rPr>
          <w:rFonts w:ascii="Times New Roman" w:hAnsi="Times New Roman" w:cs="Times New Roman"/>
          <w:sz w:val="24"/>
          <w:szCs w:val="20"/>
        </w:rPr>
        <w:t>Большеберезниковском</w:t>
      </w:r>
      <w:r w:rsidRPr="002F455B">
        <w:rPr>
          <w:rFonts w:ascii="Times New Roman" w:hAnsi="Times New Roman" w:cs="Times New Roman"/>
          <w:sz w:val="24"/>
          <w:szCs w:val="20"/>
        </w:rPr>
        <w:t xml:space="preserve"> муниципальном районе</w:t>
      </w:r>
      <w:r w:rsidR="00224579">
        <w:rPr>
          <w:rFonts w:ascii="Times New Roman" w:hAnsi="Times New Roman" w:cs="Times New Roman"/>
          <w:sz w:val="24"/>
          <w:szCs w:val="24"/>
        </w:rPr>
        <w:t>, утвержденным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3655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C0840">
        <w:rPr>
          <w:rFonts w:ascii="Times New Roman" w:hAnsi="Times New Roman" w:cs="Times New Roman"/>
          <w:sz w:val="24"/>
          <w:szCs w:val="24"/>
        </w:rPr>
        <w:t xml:space="preserve">от </w:t>
      </w:r>
      <w:r w:rsidR="000C0840" w:rsidRPr="000C0840">
        <w:rPr>
          <w:rFonts w:ascii="Times New Roman" w:hAnsi="Times New Roman" w:cs="Times New Roman"/>
          <w:sz w:val="24"/>
          <w:szCs w:val="24"/>
        </w:rPr>
        <w:t>29.05.2020 № 294</w:t>
      </w:r>
      <w:r w:rsidRPr="000C0840">
        <w:rPr>
          <w:rFonts w:ascii="Times New Roman" w:hAnsi="Times New Roman" w:cs="Times New Roman"/>
          <w:sz w:val="24"/>
          <w:szCs w:val="24"/>
        </w:rPr>
        <w:t xml:space="preserve"> и </w:t>
      </w:r>
      <w:r w:rsidRPr="000C0840">
        <w:rPr>
          <w:rFonts w:ascii="Times New Roman" w:hAnsi="Times New Roman" w:cs="Times New Roman"/>
          <w:sz w:val="24"/>
        </w:rPr>
        <w:t xml:space="preserve">приказом </w:t>
      </w:r>
      <w:r w:rsidRPr="000C084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24579" w:rsidRPr="000C0840">
        <w:rPr>
          <w:rFonts w:ascii="Times New Roman" w:hAnsi="Times New Roman" w:cs="Times New Roman"/>
          <w:sz w:val="24"/>
          <w:szCs w:val="24"/>
        </w:rPr>
        <w:t>по социальной работе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 w:rsidRPr="000C08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C0840">
        <w:rPr>
          <w:rFonts w:ascii="Times New Roman" w:hAnsi="Times New Roman"/>
          <w:sz w:val="24"/>
          <w:szCs w:val="24"/>
        </w:rPr>
        <w:t xml:space="preserve">«О конкурсном отборе на предоставление субсидий </w:t>
      </w:r>
      <w:r w:rsidRPr="000C0840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детей» от </w:t>
      </w:r>
      <w:r w:rsidR="000C0840" w:rsidRPr="000C0840">
        <w:rPr>
          <w:rFonts w:ascii="Times New Roman" w:hAnsi="Times New Roman" w:cs="Times New Roman"/>
          <w:sz w:val="24"/>
          <w:szCs w:val="24"/>
        </w:rPr>
        <w:t>01.06.2020 г. № 30</w:t>
      </w:r>
      <w:r w:rsidRPr="000C0840">
        <w:rPr>
          <w:rFonts w:ascii="Times New Roman" w:hAnsi="Times New Roman" w:cs="Times New Roman"/>
          <w:sz w:val="24"/>
          <w:szCs w:val="24"/>
        </w:rPr>
        <w:t>, в рамках реализации мероприятий «Обеспечение персонифицированного</w:t>
      </w:r>
      <w:proofErr w:type="gramEnd"/>
      <w:r w:rsidRPr="000C0840">
        <w:rPr>
          <w:rFonts w:ascii="Times New Roman" w:hAnsi="Times New Roman" w:cs="Times New Roman"/>
          <w:sz w:val="24"/>
          <w:szCs w:val="24"/>
        </w:rPr>
        <w:t xml:space="preserve"> финансирования дополнительного образования детей» программы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224579" w:rsidRPr="000C0840">
        <w:rPr>
          <w:rFonts w:ascii="Times New Roman" w:hAnsi="Times New Roman" w:cs="Times New Roman"/>
          <w:sz w:val="24"/>
          <w:szCs w:val="24"/>
        </w:rPr>
        <w:t>а «Развитие образования» на 2019</w:t>
      </w:r>
      <w:r w:rsidR="009F3587" w:rsidRPr="000C0840">
        <w:rPr>
          <w:rFonts w:ascii="Times New Roman" w:hAnsi="Times New Roman" w:cs="Times New Roman"/>
          <w:sz w:val="24"/>
          <w:szCs w:val="24"/>
        </w:rPr>
        <w:t>-2025</w:t>
      </w:r>
      <w:r w:rsidRPr="000C0840">
        <w:rPr>
          <w:rFonts w:ascii="Times New Roman" w:hAnsi="Times New Roman" w:cs="Times New Roman"/>
          <w:sz w:val="24"/>
          <w:szCs w:val="24"/>
        </w:rPr>
        <w:t xml:space="preserve"> год</w:t>
      </w:r>
      <w:r w:rsidR="00224579" w:rsidRPr="000C0840">
        <w:rPr>
          <w:rFonts w:ascii="Times New Roman" w:hAnsi="Times New Roman" w:cs="Times New Roman"/>
          <w:sz w:val="24"/>
          <w:szCs w:val="24"/>
        </w:rPr>
        <w:t>ы, утвержденным Постановлением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hAnsi="Times New Roman" w:cs="Times New Roman"/>
          <w:sz w:val="24"/>
          <w:szCs w:val="24"/>
        </w:rPr>
        <w:t>21</w:t>
      </w:r>
      <w:r w:rsidR="000C0840" w:rsidRPr="007A24BF">
        <w:rPr>
          <w:rFonts w:ascii="Times New Roman" w:hAnsi="Times New Roman" w:cs="Times New Roman"/>
          <w:sz w:val="24"/>
          <w:szCs w:val="24"/>
        </w:rPr>
        <w:t>.0</w:t>
      </w:r>
      <w:r w:rsidR="007A24BF" w:rsidRPr="007A24BF">
        <w:rPr>
          <w:rFonts w:ascii="Times New Roman" w:hAnsi="Times New Roman" w:cs="Times New Roman"/>
          <w:sz w:val="24"/>
          <w:szCs w:val="24"/>
        </w:rPr>
        <w:t>3.2019 № 148</w:t>
      </w:r>
      <w:r w:rsidRPr="007A24BF">
        <w:rPr>
          <w:rFonts w:ascii="Times New Roman" w:hAnsi="Times New Roman" w:cs="Times New Roman"/>
          <w:sz w:val="24"/>
          <w:szCs w:val="24"/>
        </w:rPr>
        <w:t>.</w:t>
      </w:r>
    </w:p>
    <w:p w:rsidR="00940D76" w:rsidRPr="00CD16E8" w:rsidRDefault="00940D76" w:rsidP="00940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5F40E8">
        <w:rPr>
          <w:rFonts w:ascii="Times New Roman" w:hAnsi="Times New Roman" w:cs="Times New Roman"/>
          <w:sz w:val="24"/>
          <w:szCs w:val="24"/>
        </w:rPr>
        <w:t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настоящего объявления.</w:t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940D76" w:rsidRPr="007C5A60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оформленная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</w:t>
      </w:r>
      <w:r w:rsidRPr="004E6431">
        <w:rPr>
          <w:rFonts w:ascii="Times New Roman" w:hAnsi="Times New Roman" w:cs="Times New Roman"/>
          <w:sz w:val="24"/>
          <w:szCs w:val="24"/>
        </w:rPr>
        <w:t xml:space="preserve">необходимые документы, предусмотренные  пунктом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40D76" w:rsidRPr="002B700A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940D76" w:rsidRPr="00461301" w:rsidRDefault="00224579" w:rsidP="00E36552">
      <w:pPr>
        <w:ind w:firstLine="708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6552">
        <w:rPr>
          <w:rFonts w:ascii="Times New Roman" w:hAnsi="Times New Roman" w:cs="Times New Roman"/>
          <w:sz w:val="24"/>
          <w:szCs w:val="24"/>
        </w:rPr>
        <w:t xml:space="preserve">) </w:t>
      </w:r>
      <w:r w:rsidR="00940D76">
        <w:rPr>
          <w:rFonts w:ascii="Times New Roman" w:hAnsi="Times New Roman" w:cs="Times New Roman"/>
          <w:sz w:val="24"/>
          <w:szCs w:val="24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</w:t>
      </w:r>
      <w:r w:rsidR="00E3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7B7C8C">
        <w:rPr>
          <w:rFonts w:ascii="Times New Roman" w:hAnsi="Times New Roman" w:cs="Times New Roman"/>
          <w:sz w:val="24"/>
          <w:szCs w:val="24"/>
        </w:rPr>
        <w:t xml:space="preserve"> муниципальном районе на 2021</w:t>
      </w:r>
      <w:r w:rsidR="00940D76">
        <w:rPr>
          <w:rFonts w:ascii="Times New Roman" w:hAnsi="Times New Roman" w:cs="Times New Roman"/>
          <w:sz w:val="24"/>
          <w:szCs w:val="24"/>
        </w:rPr>
        <w:t xml:space="preserve"> </w:t>
      </w:r>
      <w:r w:rsidR="00940D76"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gramStart"/>
      <w:r w:rsidR="00940D76" w:rsidRPr="00FD79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D76" w:rsidRPr="00FD79B3">
        <w:rPr>
          <w:rFonts w:ascii="Times New Roman" w:hAnsi="Times New Roman" w:cs="Times New Roman"/>
          <w:sz w:val="24"/>
          <w:szCs w:val="24"/>
        </w:rPr>
        <w:t>душевых</w:t>
      </w:r>
      <w:proofErr w:type="gramEnd"/>
      <w:r w:rsidR="00940D76" w:rsidRPr="00FD79B3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предоставляютс</w:t>
      </w:r>
      <w:r>
        <w:rPr>
          <w:rFonts w:ascii="Times New Roman" w:hAnsi="Times New Roman" w:cs="Times New Roman"/>
          <w:sz w:val="24"/>
        </w:rPr>
        <w:t>я с</w:t>
      </w:r>
      <w:r w:rsidRPr="005F40E8">
        <w:rPr>
          <w:rFonts w:ascii="Times New Roman" w:hAnsi="Times New Roman" w:cs="Times New Roman"/>
          <w:sz w:val="24"/>
        </w:rPr>
        <w:t>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940D76" w:rsidRPr="0080173C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940D76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940D76" w:rsidRPr="00617AFD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B48D1">
        <w:rPr>
          <w:rFonts w:ascii="Times New Roman" w:hAnsi="Times New Roman" w:cs="Times New Roman"/>
          <w:sz w:val="24"/>
          <w:szCs w:val="24"/>
        </w:rPr>
        <w:t>Ардатовского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17AFD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940D76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940D76" w:rsidRPr="00C814C9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1B48D1">
        <w:rPr>
          <w:rFonts w:ascii="Times New Roman" w:hAnsi="Times New Roman" w:cs="Times New Roman"/>
          <w:sz w:val="24"/>
          <w:szCs w:val="24"/>
        </w:rPr>
        <w:t>202</w:t>
      </w:r>
      <w:r w:rsidR="007B7C8C">
        <w:rPr>
          <w:rFonts w:ascii="Times New Roman" w:hAnsi="Times New Roman" w:cs="Times New Roman"/>
          <w:sz w:val="24"/>
          <w:szCs w:val="24"/>
        </w:rPr>
        <w:t>2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 включающая целевые показатели реализации Проекта.</w:t>
      </w:r>
    </w:p>
    <w:p w:rsidR="00940D76" w:rsidRPr="0015176E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6E">
        <w:rPr>
          <w:rFonts w:ascii="Times New Roman" w:hAnsi="Times New Roman" w:cs="Times New Roman"/>
          <w:sz w:val="24"/>
          <w:szCs w:val="24"/>
        </w:rPr>
        <w:lastRenderedPageBreak/>
        <w:t>Документы, прилагаемые к заявке, должны быть представлены на бумажном и электронном носителях в формате Portable</w:t>
      </w:r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r w:rsidRPr="0015176E">
        <w:rPr>
          <w:rFonts w:ascii="Times New Roman" w:hAnsi="Times New Roman" w:cs="Times New Roman"/>
          <w:sz w:val="24"/>
          <w:szCs w:val="24"/>
        </w:rPr>
        <w:t>Document</w:t>
      </w:r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r w:rsidRPr="0015176E">
        <w:rPr>
          <w:rFonts w:ascii="Times New Roman" w:hAnsi="Times New Roman" w:cs="Times New Roman"/>
          <w:sz w:val="24"/>
          <w:szCs w:val="24"/>
        </w:rPr>
        <w:t>Format (PDF).</w:t>
      </w:r>
      <w:proofErr w:type="gramEnd"/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918B2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F40E8">
        <w:rPr>
          <w:rFonts w:ascii="Times New Roman" w:hAnsi="Times New Roman" w:cs="Times New Roman"/>
          <w:sz w:val="24"/>
          <w:szCs w:val="24"/>
        </w:rPr>
        <w:t>и Организацией, признанной победителем Конкурса, заключается с</w:t>
      </w:r>
      <w:r w:rsidR="001B48D1">
        <w:rPr>
          <w:rFonts w:ascii="Times New Roman" w:hAnsi="Times New Roman" w:cs="Times New Roman"/>
          <w:sz w:val="24"/>
          <w:szCs w:val="24"/>
        </w:rPr>
        <w:t>о</w:t>
      </w:r>
      <w:r w:rsidR="007B7C8C">
        <w:rPr>
          <w:rFonts w:ascii="Times New Roman" w:hAnsi="Times New Roman" w:cs="Times New Roman"/>
          <w:sz w:val="24"/>
          <w:szCs w:val="24"/>
        </w:rPr>
        <w:t>глашение о предоставлении в 2022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</w:t>
      </w:r>
      <w:r>
        <w:rPr>
          <w:rFonts w:ascii="Times New Roman" w:hAnsi="Times New Roman" w:cs="Times New Roman"/>
          <w:sz w:val="24"/>
          <w:szCs w:val="24"/>
        </w:rPr>
        <w:t xml:space="preserve">дии из бюджета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</w:t>
      </w:r>
      <w:r w:rsidR="001B48D1"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1B48D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5F40E8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2 к настоящему объявлению.</w:t>
      </w:r>
      <w:proofErr w:type="gramEnd"/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 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940D76" w:rsidRPr="005F40E8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Pr="005F40E8">
        <w:rPr>
          <w:rFonts w:ascii="Times New Roman" w:hAnsi="Times New Roman" w:cs="Times New Roman"/>
          <w:sz w:val="24"/>
          <w:szCs w:val="24"/>
        </w:rPr>
        <w:t>место, дата начала и дата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76" w:rsidRPr="00584905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84905">
        <w:rPr>
          <w:rFonts w:ascii="Times New Roman" w:hAnsi="Times New Roman" w:cs="Times New Roman"/>
          <w:bCs/>
          <w:sz w:val="24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584905">
        <w:rPr>
          <w:rFonts w:ascii="Times New Roman" w:hAnsi="Times New Roman" w:cs="Times New Roman"/>
          <w:sz w:val="24"/>
          <w:szCs w:val="28"/>
        </w:rPr>
        <w:t>в период с</w:t>
      </w:r>
      <w:r w:rsidR="00B50C3E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46D95">
        <w:rPr>
          <w:rFonts w:ascii="Times New Roman" w:hAnsi="Times New Roman" w:cs="Times New Roman"/>
          <w:sz w:val="24"/>
          <w:szCs w:val="28"/>
        </w:rPr>
        <w:t>17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46D95">
        <w:rPr>
          <w:rFonts w:ascii="Times New Roman" w:hAnsi="Times New Roman" w:cs="Times New Roman"/>
          <w:sz w:val="24"/>
          <w:szCs w:val="28"/>
        </w:rPr>
        <w:t>декабря</w:t>
      </w:r>
      <w:r w:rsidR="001B48D1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584905">
        <w:rPr>
          <w:rFonts w:ascii="Times New Roman" w:hAnsi="Times New Roman" w:cs="Times New Roman"/>
          <w:sz w:val="24"/>
          <w:szCs w:val="28"/>
        </w:rPr>
        <w:t xml:space="preserve">по </w:t>
      </w:r>
      <w:r w:rsidR="00146D95">
        <w:rPr>
          <w:rFonts w:ascii="Times New Roman" w:hAnsi="Times New Roman" w:cs="Times New Roman"/>
          <w:sz w:val="24"/>
          <w:szCs w:val="28"/>
        </w:rPr>
        <w:t>21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46D95">
        <w:rPr>
          <w:rFonts w:ascii="Times New Roman" w:hAnsi="Times New Roman" w:cs="Times New Roman"/>
          <w:sz w:val="24"/>
          <w:szCs w:val="28"/>
        </w:rPr>
        <w:t>декабря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46D95">
        <w:rPr>
          <w:rFonts w:ascii="Times New Roman" w:hAnsi="Times New Roman" w:cs="Times New Roman"/>
          <w:sz w:val="24"/>
          <w:szCs w:val="28"/>
        </w:rPr>
        <w:t>2021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940D76" w:rsidRPr="004E6431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E6431"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14F47">
        <w:rPr>
          <w:rFonts w:ascii="Times New Roman" w:hAnsi="Times New Roman" w:cs="Times New Roman"/>
          <w:sz w:val="24"/>
          <w:szCs w:val="28"/>
        </w:rPr>
        <w:t>:</w:t>
      </w:r>
      <w:r w:rsidRPr="004E6431">
        <w:rPr>
          <w:rFonts w:ascii="Times New Roman" w:hAnsi="Times New Roman" w:cs="Times New Roman"/>
          <w:sz w:val="24"/>
          <w:szCs w:val="28"/>
        </w:rPr>
        <w:t xml:space="preserve"> </w:t>
      </w:r>
      <w:r w:rsidR="004E6431" w:rsidRPr="004E6431">
        <w:rPr>
          <w:rFonts w:ascii="Times New Roman" w:hAnsi="Times New Roman" w:cs="Times New Roman"/>
          <w:sz w:val="24"/>
          <w:szCs w:val="28"/>
        </w:rPr>
        <w:t>с</w:t>
      </w:r>
      <w:r w:rsidRPr="004E6431">
        <w:rPr>
          <w:rFonts w:ascii="Times New Roman" w:hAnsi="Times New Roman" w:cs="Times New Roman"/>
          <w:sz w:val="24"/>
          <w:szCs w:val="28"/>
        </w:rPr>
        <w:t xml:space="preserve">. </w:t>
      </w:r>
      <w:r w:rsidR="004E6431" w:rsidRPr="004E6431">
        <w:rPr>
          <w:rFonts w:ascii="Times New Roman" w:hAnsi="Times New Roman" w:cs="Times New Roman"/>
          <w:sz w:val="24"/>
          <w:szCs w:val="28"/>
        </w:rPr>
        <w:t>Большие Березники</w:t>
      </w:r>
      <w:r w:rsidRPr="004E6431">
        <w:rPr>
          <w:rFonts w:ascii="Times New Roman" w:hAnsi="Times New Roman" w:cs="Times New Roman"/>
          <w:sz w:val="24"/>
          <w:szCs w:val="28"/>
        </w:rPr>
        <w:t xml:space="preserve">, ул. </w:t>
      </w:r>
      <w:proofErr w:type="gramStart"/>
      <w:r w:rsidR="004E6431" w:rsidRPr="004E6431">
        <w:rPr>
          <w:rFonts w:ascii="Times New Roman" w:hAnsi="Times New Roman" w:cs="Times New Roman"/>
          <w:sz w:val="24"/>
          <w:szCs w:val="28"/>
        </w:rPr>
        <w:t>Ульяновская</w:t>
      </w:r>
      <w:proofErr w:type="gramEnd"/>
      <w:r w:rsidRPr="004E6431">
        <w:rPr>
          <w:rFonts w:ascii="Times New Roman" w:hAnsi="Times New Roman" w:cs="Times New Roman"/>
          <w:sz w:val="24"/>
          <w:szCs w:val="28"/>
        </w:rPr>
        <w:t xml:space="preserve">, д. </w:t>
      </w:r>
      <w:r w:rsidR="004E6431" w:rsidRPr="004E6431">
        <w:rPr>
          <w:rFonts w:ascii="Times New Roman" w:hAnsi="Times New Roman" w:cs="Times New Roman"/>
          <w:sz w:val="24"/>
          <w:szCs w:val="28"/>
        </w:rPr>
        <w:t>19</w:t>
      </w:r>
      <w:r w:rsidR="00584905">
        <w:rPr>
          <w:rFonts w:ascii="Times New Roman" w:hAnsi="Times New Roman" w:cs="Times New Roman"/>
          <w:sz w:val="24"/>
          <w:szCs w:val="28"/>
        </w:rPr>
        <w:t xml:space="preserve"> по рабочим дням с 9</w:t>
      </w:r>
      <w:r w:rsidRPr="004E6431">
        <w:rPr>
          <w:rFonts w:ascii="Times New Roman" w:hAnsi="Times New Roman" w:cs="Times New Roman"/>
          <w:sz w:val="24"/>
          <w:szCs w:val="28"/>
        </w:rPr>
        <w:t>.00 до 1</w:t>
      </w:r>
      <w:r w:rsidR="00584905">
        <w:rPr>
          <w:rFonts w:ascii="Times New Roman" w:hAnsi="Times New Roman" w:cs="Times New Roman"/>
          <w:sz w:val="24"/>
          <w:szCs w:val="28"/>
        </w:rPr>
        <w:t>2</w:t>
      </w:r>
      <w:r w:rsidRPr="004E6431">
        <w:rPr>
          <w:rFonts w:ascii="Times New Roman" w:hAnsi="Times New Roman" w:cs="Times New Roman"/>
          <w:sz w:val="24"/>
          <w:szCs w:val="28"/>
        </w:rPr>
        <w:t>.00 по часовому поясу нахождения Организатора.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B50C3E">
        <w:rPr>
          <w:rFonts w:ascii="Times New Roman" w:hAnsi="Times New Roman" w:cs="Times New Roman"/>
          <w:sz w:val="24"/>
          <w:szCs w:val="28"/>
        </w:rPr>
        <w:t xml:space="preserve">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t>пункта</w:t>
      </w:r>
      <w:r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Организации (при наличии) с пометкой «На </w:t>
      </w:r>
      <w:r>
        <w:rPr>
          <w:rFonts w:ascii="Times New Roman" w:hAnsi="Times New Roman" w:cs="Times New Roman"/>
          <w:sz w:val="24"/>
          <w:szCs w:val="28"/>
        </w:rPr>
        <w:t xml:space="preserve">конкурс </w:t>
      </w:r>
      <w:r w:rsidR="002245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14F47">
        <w:rPr>
          <w:rFonts w:ascii="Times New Roman" w:hAnsi="Times New Roman" w:cs="Times New Roman"/>
          <w:sz w:val="24"/>
          <w:szCs w:val="24"/>
        </w:rPr>
        <w:t>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поддержки организациям на реализацию проекта по обеспечению</w:t>
      </w:r>
      <w:proofErr w:type="gramEnd"/>
      <w:r w:rsidRPr="00B8744A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8"/>
        </w:rPr>
        <w:t>механизма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</w:t>
      </w:r>
      <w:r w:rsidRPr="00B8744A">
        <w:rPr>
          <w:rFonts w:ascii="Times New Roman" w:hAnsi="Times New Roman" w:cs="Times New Roman"/>
          <w:sz w:val="24"/>
          <w:szCs w:val="28"/>
        </w:rPr>
        <w:lastRenderedPageBreak/>
        <w:t>финансирования в 20</w:t>
      </w:r>
      <w:r w:rsidR="005D3388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году».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Организация вправе не указывать на конверте свое наименование и почтовый адрес.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Конверты с Заявками и прилагаемыми документами на участие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>Конкурсе</w:t>
      </w:r>
      <w:proofErr w:type="gramEnd"/>
      <w:r w:rsidRPr="00B8744A">
        <w:rPr>
          <w:rFonts w:ascii="Times New Roman" w:hAnsi="Times New Roman" w:cs="Times New Roman"/>
          <w:sz w:val="24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Pr="00B8744A">
        <w:rPr>
          <w:rFonts w:ascii="Times New Roman" w:hAnsi="Times New Roman" w:cs="Times New Roman"/>
          <w:sz w:val="24"/>
          <w:szCs w:val="28"/>
        </w:rPr>
        <w:t xml:space="preserve">вправе отозвать свою заявку в любое время до </w:t>
      </w:r>
      <w:r w:rsidR="00584905" w:rsidRPr="00584905">
        <w:rPr>
          <w:rFonts w:ascii="Times New Roman" w:hAnsi="Times New Roman" w:cs="Times New Roman"/>
          <w:sz w:val="24"/>
          <w:szCs w:val="28"/>
        </w:rPr>
        <w:t>12</w:t>
      </w:r>
      <w:r w:rsidRPr="00584905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5D3388">
        <w:rPr>
          <w:rFonts w:ascii="Times New Roman" w:hAnsi="Times New Roman" w:cs="Times New Roman"/>
          <w:sz w:val="24"/>
          <w:szCs w:val="28"/>
        </w:rPr>
        <w:t>21 декабря</w:t>
      </w:r>
      <w:r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20</w:t>
      </w:r>
      <w:r w:rsidR="005D3388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 по часовому поясу нахождения Организатора.</w:t>
      </w:r>
    </w:p>
    <w:p w:rsidR="00940D76" w:rsidRPr="00B8744A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>
        <w:rPr>
          <w:rFonts w:ascii="Times New Roman" w:hAnsi="Times New Roman" w:cs="Times New Roman"/>
          <w:sz w:val="24"/>
          <w:szCs w:val="28"/>
        </w:rPr>
        <w:t xml:space="preserve"> (при наличии) 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>
        <w:rPr>
          <w:rFonts w:ascii="Times New Roman" w:hAnsi="Times New Roman" w:cs="Times New Roman"/>
          <w:sz w:val="24"/>
          <w:szCs w:val="28"/>
        </w:rPr>
        <w:t xml:space="preserve">Организации 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r w:rsidR="000D1C67" w:rsidRPr="005F40E8">
        <w:rPr>
          <w:rFonts w:ascii="Times New Roman" w:hAnsi="Times New Roman" w:cs="Times New Roman"/>
          <w:sz w:val="24"/>
          <w:szCs w:val="28"/>
        </w:rPr>
        <w:t>не отозванной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84905">
        <w:rPr>
          <w:rFonts w:ascii="Times New Roman" w:hAnsi="Times New Roman" w:cs="Times New Roman"/>
          <w:sz w:val="24"/>
          <w:szCs w:val="28"/>
        </w:rPr>
        <w:t xml:space="preserve">: </w:t>
      </w:r>
      <w:r w:rsidR="005D3388">
        <w:rPr>
          <w:rFonts w:ascii="Times New Roman" w:hAnsi="Times New Roman" w:cs="Times New Roman"/>
          <w:sz w:val="24"/>
          <w:szCs w:val="28"/>
        </w:rPr>
        <w:t>22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5D3388">
        <w:rPr>
          <w:rFonts w:ascii="Times New Roman" w:hAnsi="Times New Roman" w:cs="Times New Roman"/>
          <w:sz w:val="24"/>
          <w:szCs w:val="28"/>
        </w:rPr>
        <w:t>декабря</w:t>
      </w:r>
      <w:r w:rsidRPr="00584905">
        <w:rPr>
          <w:rFonts w:ascii="Times New Roman" w:hAnsi="Times New Roman" w:cs="Times New Roman"/>
          <w:sz w:val="24"/>
          <w:szCs w:val="28"/>
        </w:rPr>
        <w:t xml:space="preserve"> 20</w:t>
      </w:r>
      <w:r w:rsidR="005D3388">
        <w:rPr>
          <w:rFonts w:ascii="Times New Roman" w:hAnsi="Times New Roman" w:cs="Times New Roman"/>
          <w:sz w:val="24"/>
          <w:szCs w:val="28"/>
        </w:rPr>
        <w:t>21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</w:t>
      </w:r>
      <w:r w:rsidR="00584905" w:rsidRPr="00584905">
        <w:rPr>
          <w:rFonts w:ascii="Times New Roman" w:hAnsi="Times New Roman" w:cs="Times New Roman"/>
          <w:sz w:val="24"/>
          <w:szCs w:val="28"/>
        </w:rPr>
        <w:t>а, 12</w:t>
      </w:r>
      <w:r w:rsidRPr="00584905">
        <w:rPr>
          <w:rFonts w:ascii="Times New Roman" w:hAnsi="Times New Roman" w:cs="Times New Roman"/>
          <w:sz w:val="24"/>
          <w:szCs w:val="28"/>
        </w:rPr>
        <w:t xml:space="preserve">:00 по часовому </w:t>
      </w:r>
      <w:r>
        <w:rPr>
          <w:rFonts w:ascii="Times New Roman" w:hAnsi="Times New Roman" w:cs="Times New Roman"/>
          <w:sz w:val="24"/>
          <w:szCs w:val="28"/>
        </w:rPr>
        <w:t>поясу нахождения Организатора.</w:t>
      </w:r>
    </w:p>
    <w:p w:rsidR="00940D76" w:rsidRPr="00C660A5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5918B2">
        <w:rPr>
          <w:rFonts w:ascii="Times New Roman" w:hAnsi="Times New Roman" w:cs="Times New Roman"/>
          <w:sz w:val="24"/>
        </w:rPr>
        <w:t>Управление по социальной работе</w:t>
      </w:r>
      <w:r w:rsidR="00224579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</w:rPr>
        <w:t>муниципального района.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>
        <w:rPr>
          <w:rFonts w:ascii="Times New Roman" w:hAnsi="Times New Roman" w:cs="Times New Roman"/>
          <w:sz w:val="24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5D3388">
        <w:rPr>
          <w:rFonts w:ascii="Times New Roman" w:hAnsi="Times New Roman" w:cs="Times New Roman"/>
          <w:sz w:val="24"/>
        </w:rPr>
        <w:t>21</w:t>
      </w:r>
      <w:r w:rsidR="00584905" w:rsidRPr="00584905">
        <w:rPr>
          <w:rFonts w:ascii="Times New Roman" w:hAnsi="Times New Roman" w:cs="Times New Roman"/>
          <w:sz w:val="24"/>
        </w:rPr>
        <w:t xml:space="preserve"> </w:t>
      </w:r>
      <w:r w:rsidR="005D3388">
        <w:rPr>
          <w:rFonts w:ascii="Times New Roman" w:hAnsi="Times New Roman" w:cs="Times New Roman"/>
          <w:sz w:val="24"/>
        </w:rPr>
        <w:t>декабря</w:t>
      </w:r>
      <w:r w:rsidRPr="00584905">
        <w:rPr>
          <w:rFonts w:ascii="Times New Roman" w:hAnsi="Times New Roman" w:cs="Times New Roman"/>
          <w:sz w:val="24"/>
        </w:rPr>
        <w:t xml:space="preserve"> 20</w:t>
      </w:r>
      <w:r w:rsidR="005D3388">
        <w:rPr>
          <w:rFonts w:ascii="Times New Roman" w:hAnsi="Times New Roman" w:cs="Times New Roman"/>
          <w:sz w:val="24"/>
        </w:rPr>
        <w:t>21</w:t>
      </w:r>
      <w:r w:rsidRPr="00584905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>
        <w:rPr>
          <w:rFonts w:ascii="Times New Roman" w:hAnsi="Times New Roman" w:cs="Times New Roman"/>
          <w:sz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Протокол вскрытия конвертов</w:t>
      </w:r>
      <w:r>
        <w:rPr>
          <w:rFonts w:ascii="Times New Roman" w:hAnsi="Times New Roman" w:cs="Times New Roman"/>
          <w:sz w:val="24"/>
        </w:rPr>
        <w:t xml:space="preserve"> </w:t>
      </w:r>
      <w:r w:rsidRPr="006E6BBF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4"/>
        </w:rPr>
        <w:t xml:space="preserve">органов местного самоуправления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E6BB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</w:rPr>
        <w:t xml:space="preserve">  в течение дня, следующего после дня вскрытия конверта.</w:t>
      </w:r>
    </w:p>
    <w:p w:rsidR="00940D76" w:rsidRPr="006E6BBF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940D76" w:rsidRPr="0046225E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представивших заявки, их местонахождение;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заявки которых не были допущены к участию в Конкурсе, с указанием причины.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940D76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Порядок определения победителя Конкурса.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>Заявки, допущенные до участия в Конкурсе, рассматриваются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C32088">
        <w:rPr>
          <w:rFonts w:ascii="Times New Roman" w:hAnsi="Times New Roman" w:cs="Times New Roman"/>
          <w:sz w:val="24"/>
        </w:rPr>
        <w:t>Конкурсной комиссией в срок не более 2 рабочих дней со дня вскрытия конвертов.</w:t>
      </w:r>
    </w:p>
    <w:p w:rsidR="00940D76" w:rsidRPr="000D1C67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D1C67">
        <w:rPr>
          <w:rFonts w:ascii="Times New Roman" w:hAnsi="Times New Roman" w:cs="Times New Roman"/>
          <w:sz w:val="24"/>
        </w:rPr>
        <w:t>Представленные на Конкурс Заявки рассматриваются Конкурсной комиссией на предмет соответствия условий, указанных в пункте 8 Порядка, с учетом критериев, указанных  в пункте 9 Порядка.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>
        <w:rPr>
          <w:rFonts w:ascii="Times New Roman" w:hAnsi="Times New Roman" w:cs="Times New Roman"/>
          <w:sz w:val="24"/>
        </w:rPr>
        <w:t>рассмотрения Заявок К</w:t>
      </w:r>
      <w:r w:rsidRPr="006C4434">
        <w:rPr>
          <w:rFonts w:ascii="Times New Roman" w:hAnsi="Times New Roman" w:cs="Times New Roman"/>
          <w:sz w:val="24"/>
        </w:rPr>
        <w:t>онкурсн</w:t>
      </w:r>
      <w:r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 xml:space="preserve">я определяет единственного победителя Конкурса, </w:t>
      </w:r>
      <w:r w:rsidRPr="0080173C">
        <w:rPr>
          <w:rFonts w:ascii="Times New Roman" w:hAnsi="Times New Roman" w:cs="Times New Roman"/>
          <w:sz w:val="24"/>
          <w:szCs w:val="24"/>
        </w:rPr>
        <w:t>набравше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</w:t>
      </w:r>
      <w:r w:rsidRPr="00D732A6">
        <w:rPr>
          <w:rFonts w:ascii="Times New Roman" w:hAnsi="Times New Roman" w:cs="Times New Roman"/>
          <w:sz w:val="24"/>
          <w:szCs w:val="24"/>
        </w:rPr>
        <w:t>в Приложении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FB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E3F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FE3F0D">
        <w:rPr>
          <w:rFonts w:ascii="Times New Roman" w:hAnsi="Times New Roman" w:cs="Times New Roman"/>
          <w:sz w:val="24"/>
        </w:rPr>
        <w:t>Заявок Конкурсной комиссией.</w:t>
      </w:r>
    </w:p>
    <w:p w:rsidR="00A83E29" w:rsidRDefault="00940D76" w:rsidP="00940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AE2" w:rsidRPr="005111CA" w:rsidRDefault="00FB5AE2" w:rsidP="00FB5AE2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Приложение 1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FB5AE2" w:rsidRPr="00A800CE" w:rsidTr="005D5639">
        <w:trPr>
          <w:trHeight w:val="238"/>
        </w:trPr>
        <w:tc>
          <w:tcPr>
            <w:tcW w:w="9924" w:type="dxa"/>
            <w:gridSpan w:val="5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2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(ы) по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</w:p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классификатору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94"/>
        </w:trPr>
        <w:tc>
          <w:tcPr>
            <w:tcW w:w="3600" w:type="dxa"/>
            <w:gridSpan w:val="2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  <w:vAlign w:val="center"/>
          </w:tcPr>
          <w:p w:rsidR="00FB5AE2" w:rsidRPr="00360EEA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FB5AE2" w:rsidRPr="00A800CE" w:rsidTr="005D5639">
        <w:trPr>
          <w:trHeight w:val="116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113"/>
        </w:trPr>
        <w:tc>
          <w:tcPr>
            <w:tcW w:w="4962" w:type="dxa"/>
            <w:gridSpan w:val="3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FB5AE2" w:rsidRPr="00536E58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4E643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4E6431">
              <w:rPr>
                <w:rFonts w:ascii="Times New Roman" w:hAnsi="Times New Roman"/>
                <w:sz w:val="24"/>
                <w:szCs w:val="24"/>
              </w:rPr>
              <w:t xml:space="preserve">Большеберезниковского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5D3388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5D3388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8103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5D3388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1142523</w:t>
            </w:r>
            <w:r w:rsidR="00FB5AE2" w:rsidRPr="004E6431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Default="00FB5AE2" w:rsidP="005D5639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E2" w:rsidRPr="00C01A70" w:rsidRDefault="00FB5AE2" w:rsidP="005D5639">
            <w:pPr>
              <w:pStyle w:val="a3"/>
              <w:keepLines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0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FB5AE2" w:rsidRPr="003337ED" w:rsidRDefault="00FB5AE2" w:rsidP="005D5639">
            <w:pPr>
              <w:rPr>
                <w:i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FB5AE2" w:rsidRPr="00A800CE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E2" w:rsidRDefault="00FB5AE2" w:rsidP="00FB5AE2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584905">
        <w:rPr>
          <w:rFonts w:ascii="Times New Roman" w:hAnsi="Times New Roman" w:cs="Times New Roman"/>
          <w:sz w:val="24"/>
          <w:szCs w:val="24"/>
        </w:rPr>
        <w:t>Конкурсе н</w:t>
      </w:r>
      <w:r w:rsidRPr="00FB6B83">
        <w:rPr>
          <w:rFonts w:ascii="Times New Roman" w:hAnsi="Times New Roman" w:cs="Times New Roman"/>
          <w:sz w:val="24"/>
          <w:szCs w:val="24"/>
        </w:rPr>
        <w:t xml:space="preserve">а предоставление субсидий из бюджета </w:t>
      </w:r>
      <w:r w:rsidR="009D0F68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C61AA9"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C61A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B6B8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FB5AE2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D63166" w:rsidRDefault="00FB5AE2" w:rsidP="00D63166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 w:rsidR="00D63166"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="00D63166"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D63166" w:rsidRDefault="00D63166" w:rsidP="00D63166">
      <w:pPr>
        <w:rPr>
          <w:rFonts w:ascii="Times New Roman" w:hAnsi="Times New Roman" w:cs="Times New Roman"/>
          <w:smallCaps/>
          <w:sz w:val="24"/>
        </w:rPr>
      </w:pPr>
    </w:p>
    <w:p w:rsidR="00D63166" w:rsidRDefault="00D63166" w:rsidP="00D631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Мордовии от 04 марта 2019 года №211, в рамках реализации Проекта в соответствии с положениями, изложенными в Заявке.</w:t>
      </w:r>
    </w:p>
    <w:p w:rsidR="00D63166" w:rsidRDefault="00D63166" w:rsidP="00D63166">
      <w:pPr>
        <w:jc w:val="both"/>
        <w:rPr>
          <w:rFonts w:ascii="Times New Roman" w:hAnsi="Times New Roman" w:cs="Times New Roman"/>
          <w:sz w:val="24"/>
        </w:rPr>
      </w:pPr>
    </w:p>
    <w:p w:rsidR="00D63166" w:rsidRPr="00CF04C8" w:rsidRDefault="00D63166" w:rsidP="00D63166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D63166" w:rsidRPr="00CF04C8" w:rsidRDefault="00D63166" w:rsidP="00D63166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>о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>.)</w:t>
      </w:r>
    </w:p>
    <w:p w:rsidR="00D63166" w:rsidRPr="00CF04C8" w:rsidRDefault="00D63166" w:rsidP="00D63166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D63166" w:rsidRDefault="00D63166" w:rsidP="00D63166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3166" w:rsidRPr="00CF04C8" w:rsidRDefault="00D63166" w:rsidP="00D63166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D63166" w:rsidRPr="00297F96" w:rsidRDefault="00D63166" w:rsidP="00D63166">
      <w:pPr>
        <w:jc w:val="both"/>
        <w:rPr>
          <w:rFonts w:ascii="Times New Roman" w:hAnsi="Times New Roman" w:cs="Times New Roman"/>
          <w:sz w:val="24"/>
        </w:rPr>
      </w:pPr>
    </w:p>
    <w:p w:rsidR="00D63166" w:rsidRDefault="00D63166" w:rsidP="00D63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3166" w:rsidRDefault="00D63166" w:rsidP="00D63166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D63166" w:rsidRDefault="00D63166" w:rsidP="00D63166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D63166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66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D63166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Большеберезниковском муниципальном районе</w:t>
      </w:r>
    </w:p>
    <w:p w:rsidR="00D63166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D63166" w:rsidRPr="00B94D8D" w:rsidTr="00FB74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D63166" w:rsidRPr="00B94D8D" w:rsidTr="00FB74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D63166" w:rsidRPr="00B94D8D" w:rsidRDefault="00D63166" w:rsidP="00FB74EF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66" w:rsidRPr="00B94D8D" w:rsidTr="00FB74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166" w:rsidRPr="00B94D8D" w:rsidTr="00FB74E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есурсный потенциал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имеет  необходимую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оргтехнику, включая аттестованные для работы с персональными данными рабочие компьютерные места (2 балла);</w:t>
            </w:r>
          </w:p>
          <w:p w:rsidR="00D63166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D63166" w:rsidRPr="00B94D8D" w:rsidRDefault="00D63166" w:rsidP="00FB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</w:tbl>
    <w:p w:rsidR="00D63166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66" w:rsidRPr="005111CA" w:rsidRDefault="00D63166" w:rsidP="00D63166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166" w:rsidRDefault="00D63166" w:rsidP="00D63166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D63166" w:rsidRDefault="00D63166" w:rsidP="00D63166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D63166" w:rsidRPr="006909D9" w:rsidRDefault="00D63166" w:rsidP="00D6316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2022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63166" w:rsidRPr="00A22900" w:rsidRDefault="00D63166" w:rsidP="00D6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Большеберезниковском муниципальном районе</w:t>
      </w:r>
    </w:p>
    <w:p w:rsidR="00D63166" w:rsidRPr="00A22900" w:rsidRDefault="00D63166" w:rsidP="00D63166">
      <w:pPr>
        <w:pStyle w:val="ConsPlusNormal"/>
        <w:ind w:firstLine="540"/>
        <w:jc w:val="both"/>
        <w:rPr>
          <w:sz w:val="24"/>
          <w:szCs w:val="24"/>
        </w:rPr>
      </w:pPr>
    </w:p>
    <w:p w:rsidR="00D63166" w:rsidRPr="00A22900" w:rsidRDefault="00D63166" w:rsidP="00D63166">
      <w:pPr>
        <w:pStyle w:val="ConsPlusNormal"/>
        <w:ind w:firstLine="540"/>
        <w:jc w:val="both"/>
        <w:rPr>
          <w:sz w:val="24"/>
          <w:szCs w:val="24"/>
        </w:rPr>
      </w:pPr>
    </w:p>
    <w:p w:rsidR="00D63166" w:rsidRPr="00A22900" w:rsidRDefault="00D63166" w:rsidP="00D63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D63166" w:rsidRPr="00A22900" w:rsidRDefault="00D63166" w:rsidP="00D63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166" w:rsidRPr="00A22900" w:rsidRDefault="00D63166" w:rsidP="00D63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по социальной работе администрации Большеберезниковского муниципального района</w:t>
      </w:r>
      <w:r w:rsidRPr="00240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229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Большеберезниковский муниципальный район, </w:t>
      </w:r>
      <w:r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Большеберезниковского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>
        <w:rPr>
          <w:rFonts w:ascii="Times New Roman" w:hAnsi="Times New Roman" w:cs="Times New Roman"/>
          <w:sz w:val="24"/>
          <w:szCs w:val="24"/>
        </w:rPr>
        <w:t>______ «_________________________________»</w:t>
      </w:r>
      <w:r w:rsidRPr="00A2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 предоставлении поддержки</w:t>
      </w:r>
      <w:r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в Большеберезниковском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04 марта № 211 «Об утверждении правил персонифицированного финансирования дополнительного образования детей» (далее – Правила персонифицированного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финансирования) на основании протокола конкурсной комиссии ______________________________заключили настоящее с</w:t>
      </w:r>
      <w:r w:rsidRPr="00A22900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D63166" w:rsidRPr="00A22900" w:rsidRDefault="00D63166" w:rsidP="00D63166">
      <w:pPr>
        <w:pStyle w:val="ConsPlusNormal"/>
        <w:jc w:val="both"/>
        <w:rPr>
          <w:sz w:val="24"/>
          <w:szCs w:val="24"/>
        </w:rPr>
      </w:pPr>
    </w:p>
    <w:p w:rsidR="00D63166" w:rsidRPr="001E0EB0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EB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166" w:rsidRPr="00A22900" w:rsidRDefault="00D63166" w:rsidP="00D63166">
      <w:pPr>
        <w:pStyle w:val="ConsPlusNormal"/>
        <w:jc w:val="both"/>
        <w:rPr>
          <w:sz w:val="24"/>
          <w:szCs w:val="24"/>
        </w:rPr>
      </w:pPr>
    </w:p>
    <w:p w:rsidR="00D63166" w:rsidRDefault="00D63166" w:rsidP="00D63166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D61B1A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</w:t>
      </w:r>
      <w:r w:rsidRPr="00D61B1A"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Большеберезниковского  муниципального района в  2022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Большеберезниковского муниципального района «Развитие образования» на 2019-2025 годы, утвержденным Постановлением администрации Большеберезниковского муниципального района от </w:t>
      </w:r>
      <w:r w:rsidRPr="007A24BF">
        <w:rPr>
          <w:rFonts w:ascii="Times New Roman" w:hAnsi="Times New Roman" w:cs="Times New Roman"/>
          <w:sz w:val="24"/>
          <w:szCs w:val="24"/>
        </w:rPr>
        <w:t xml:space="preserve">21.03.2019 № 148 </w:t>
      </w:r>
      <w:r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B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B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1B1A">
        <w:rPr>
          <w:rFonts w:ascii="Times New Roman" w:hAnsi="Times New Roman" w:cs="Times New Roman"/>
          <w:sz w:val="24"/>
          <w:szCs w:val="24"/>
        </w:rPr>
        <w:t xml:space="preserve">алее - Субсидия) в целях финансового обеспечения затрат Получателя, связанных с реализацией проекта по </w:t>
      </w:r>
      <w:r w:rsidRPr="00D61B1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развития </w:t>
      </w:r>
      <w:r w:rsidRPr="00D61B1A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 xml:space="preserve">механизма </w:t>
      </w:r>
      <w:r w:rsidRPr="00D61B1A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>
        <w:rPr>
          <w:rFonts w:ascii="Times New Roman" w:hAnsi="Times New Roman" w:cs="Times New Roman"/>
          <w:sz w:val="24"/>
          <w:szCs w:val="24"/>
        </w:rPr>
        <w:t>Большеберезниковском муниципальном районе</w:t>
      </w:r>
      <w:r w:rsidRPr="00D61B1A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166" w:rsidRDefault="00D63166" w:rsidP="00D63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166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166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166" w:rsidRPr="004E2380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I</w:t>
      </w: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D63166" w:rsidRDefault="00D63166" w:rsidP="00D63166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63166" w:rsidRDefault="00D63166" w:rsidP="00D63166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5993649"/>
      <w:proofErr w:type="gramStart"/>
      <w:r w:rsidRPr="00FA6F92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</w:t>
      </w:r>
      <w:r w:rsidRPr="00AE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 w:rsidRPr="00AE1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Большеберезниковского муниципального района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 кодам классификации расходов бюджета Большеберезниковского муниципального района</w:t>
      </w:r>
      <w:r w:rsidRPr="001A1867">
        <w:rPr>
          <w:rFonts w:ascii="Times New Roman" w:hAnsi="Times New Roman" w:cs="Times New Roman"/>
          <w:sz w:val="24"/>
          <w:szCs w:val="24"/>
        </w:rPr>
        <w:t>: раздел 07 «Образование», подраздел 03 «Дополнительное образование детей», целевая статья расходов 0220161080</w:t>
      </w:r>
      <w:proofErr w:type="gramEnd"/>
      <w:r w:rsidRPr="001A1867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 детей», виду расходов 632 «Субсидии (гранты в форме субсидий), подлежащие казначейскому сопровождению».</w:t>
      </w:r>
      <w:bookmarkEnd w:id="1"/>
    </w:p>
    <w:p w:rsidR="00D63166" w:rsidRPr="004E2380" w:rsidRDefault="00D63166" w:rsidP="00D6316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3166" w:rsidRPr="004E2380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D63166" w:rsidRPr="004E2380" w:rsidRDefault="00D63166" w:rsidP="00D63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3166" w:rsidRPr="004E2380" w:rsidRDefault="00D63166" w:rsidP="00D6316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63166" w:rsidRPr="004E2380" w:rsidRDefault="00D63166" w:rsidP="00D6316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63166" w:rsidRPr="004E2380" w:rsidRDefault="00D63166" w:rsidP="00D63166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D63166" w:rsidRPr="004E2380" w:rsidRDefault="00D63166" w:rsidP="00D63166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166" w:rsidRPr="004E2380" w:rsidRDefault="00D63166" w:rsidP="00D63166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4E238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4E238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</w:p>
    <w:p w:rsidR="00D63166" w:rsidRPr="004E2380" w:rsidRDefault="00D63166" w:rsidP="00D63166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D63166" w:rsidRPr="004E2380" w:rsidRDefault="00D63166" w:rsidP="00D63166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D63166" w:rsidRPr="004E2380" w:rsidRDefault="00D63166" w:rsidP="00D63166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D63166" w:rsidRPr="004E2380" w:rsidRDefault="00D63166" w:rsidP="00D63166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5987626"/>
      <w:r w:rsidRPr="004E238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Организации  территориальным органом Федерального казначейства на основании заявок на перечисление субсидии, оформляемых в соответствии с Приложением 1.</w:t>
      </w:r>
      <w:bookmarkEnd w:id="2"/>
    </w:p>
    <w:p w:rsidR="00D63166" w:rsidRPr="004E2380" w:rsidRDefault="00D63166" w:rsidP="00D63166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15985184"/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3"/>
    </w:p>
    <w:p w:rsidR="00D63166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15983537"/>
      <w:proofErr w:type="gramStart"/>
      <w:r w:rsidRPr="00F83273">
        <w:rPr>
          <w:rFonts w:ascii="Times New Roman" w:hAnsi="Times New Roman" w:cs="Times New Roman"/>
          <w:sz w:val="24"/>
          <w:szCs w:val="24"/>
        </w:rPr>
        <w:lastRenderedPageBreak/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Большеберезниковском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4"/>
    </w:p>
    <w:p w:rsidR="00D63166" w:rsidRPr="00953402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D63166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D63166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D63166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D63166" w:rsidRPr="00D07892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D63166" w:rsidRDefault="00D63166" w:rsidP="00D63166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D63166" w:rsidRDefault="00D63166" w:rsidP="00D63166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93">
        <w:rPr>
          <w:rFonts w:ascii="Times New Roman" w:hAnsi="Times New Roman" w:cs="Times New Roman"/>
          <w:sz w:val="24"/>
          <w:szCs w:val="24"/>
        </w:rPr>
        <w:t>Совокупный объем указанных затрат Организации, осуществляемых по направлениям, указанных в пунктах 3.4.2-3.4.7 настоящего Соглашения, подлежащих обеспечению за счет субсидии, не может превышать 1 % затрат от совокупных затрат Организации, подлежащих обеспечению за счет субсидии.</w:t>
      </w:r>
    </w:p>
    <w:p w:rsidR="00D63166" w:rsidRPr="000E7B93" w:rsidRDefault="00D63166" w:rsidP="00D6316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0E7B93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>
        <w:fldChar w:fldCharType="begin"/>
      </w:r>
      <w:r>
        <w:instrText xml:space="preserve"> REF _Ref515985184 \r \h 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3.4</w:t>
      </w:r>
      <w:r>
        <w:fldChar w:fldCharType="end"/>
      </w:r>
      <w:r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>
        <w:fldChar w:fldCharType="begin"/>
      </w:r>
      <w:r>
        <w:instrText xml:space="preserve"> REF _Ref518034184 \r \h 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3.4.2</w:t>
      </w:r>
      <w:r>
        <w:fldChar w:fldCharType="end"/>
      </w:r>
      <w:r w:rsidRPr="000E7B93"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REF _Ref515983541 \r \h 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3.4.7</w:t>
      </w:r>
      <w:r>
        <w:fldChar w:fldCharType="end"/>
      </w:r>
      <w:r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п.3.5 настоящего соглашения, не допускаются. В случае нецелевого использования бюджетных сре</w:t>
      </w:r>
      <w:proofErr w:type="gramStart"/>
      <w:r w:rsidRPr="000E7B9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E7B93">
        <w:rPr>
          <w:rFonts w:ascii="Times New Roman" w:hAnsi="Times New Roman" w:cs="Times New Roman"/>
          <w:sz w:val="24"/>
          <w:szCs w:val="24"/>
        </w:rPr>
        <w:t xml:space="preserve">азмере предоставленной субсидии перечисляются в доход местного бюджета </w:t>
      </w:r>
      <w:r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E7B93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D63166" w:rsidRPr="005D5639" w:rsidRDefault="00D63166" w:rsidP="00D63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предоставление Получателю Субсидию в соответствии с разделом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проверку представляемых Получателем заявок на  перечисление субсидии, указанных в пункте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5 рабочих дней со дня их получения от Получателя.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разделе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Ref51598865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7"/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Ref515991180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8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 сроки, установленные Порядком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Направить Получателю в 10-тидневный срок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63166" w:rsidRPr="005D5639" w:rsidRDefault="00D63166" w:rsidP="00D63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вправе: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Ref515993725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решение об изменении условий настоящего Соглашения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_Ref515993157 \r \h </w:instrTex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4.4.2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9"/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Ref515992468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потребности в направлении в 2022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остатка Субсидии, не использованного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0"/>
      <w:proofErr w:type="gramEnd"/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Приостанавливать  предоставление Субсидии в случае установлени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 Главным распорядителем   факт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Ref51599108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_Ref515988656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4.1.4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  <w:bookmarkEnd w:id="11"/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63166" w:rsidRPr="005D5639" w:rsidRDefault="00D63166" w:rsidP="00D63166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Главному распорядителю при заключении настоящего Соглашения:</w:t>
      </w: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Вести обособленный аналитический учет операций, осуществляемых  за счет Субсидии.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реализацию Проекта с соблюдением Правил персонифицированного финансирования.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платежи, предусмотренные пунктом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_Ref515983537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3.4.1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по запросу Главного распорядителя документы  и  информацию,  необходимые  для   осуществления   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_Ref515991086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4.2.4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от Главного распорядителя требования в соответствии с пунктом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Pr="005D5639">
        <w:rPr>
          <w:rFonts w:ascii="Times New Roman" w:eastAsia="Times New Roman" w:hAnsi="Times New Roman" w:cs="Times New Roman"/>
          <w:sz w:val="24"/>
          <w:szCs w:val="24"/>
        </w:rPr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4.1.5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:rsidR="00D63166" w:rsidRPr="005D5639" w:rsidRDefault="00D63166" w:rsidP="00D63166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устранять фак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D63166" w:rsidRPr="005D5639" w:rsidRDefault="00D63166" w:rsidP="00D63166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Возвращать в случае неиспользованного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остатка   Субсидии   в  доход местного  бюджета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Большеберезниковского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муниципального р</w:t>
      </w:r>
      <w:r>
        <w:rPr>
          <w:rFonts w:ascii="Times New Roman" w:eastAsia="Times New Roman" w:hAnsi="Times New Roman" w:cs="Times New Roman"/>
          <w:sz w:val="24"/>
          <w:szCs w:val="24"/>
        </w:rPr>
        <w:t>айона в срок до «21» января 2023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Главному распорядителю сведения:</w:t>
      </w:r>
    </w:p>
    <w:p w:rsidR="00D63166" w:rsidRPr="005D5639" w:rsidRDefault="00D63166" w:rsidP="00D63166">
      <w:pPr>
        <w:widowControl w:val="0"/>
        <w:numPr>
          <w:ilvl w:val="3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D63166" w:rsidRPr="005D5639" w:rsidRDefault="00D63166" w:rsidP="00D63166">
      <w:pPr>
        <w:widowControl w:val="0"/>
        <w:numPr>
          <w:ilvl w:val="3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 принятии решения о реорганизации в недельный срок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такого решения.</w:t>
      </w:r>
    </w:p>
    <w:p w:rsidR="00D63166" w:rsidRPr="005D5639" w:rsidRDefault="00D63166" w:rsidP="00D63166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D63166" w:rsidRPr="005D5639" w:rsidRDefault="00D63166" w:rsidP="00D631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D63166" w:rsidRPr="005D5639" w:rsidRDefault="00D63166" w:rsidP="00D631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D63166" w:rsidRPr="005D5639" w:rsidRDefault="00D63166" w:rsidP="00D6316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D63166" w:rsidRPr="005D5639" w:rsidRDefault="00D63166" w:rsidP="00D63166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6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вправе: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Главному распорядителю за разъяснениями по вопросам исполнения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515993157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Главному распорядителю предложения о внесении  изменений в настоящее Соглашение в  соответствии  с  пунктом  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. настоящего  Соглашения,  в  том  числе  в случае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12"/>
    </w:p>
    <w:p w:rsidR="00D63166" w:rsidRPr="005D5639" w:rsidRDefault="00D63166" w:rsidP="00D6316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Направлять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>
        <w:fldChar w:fldCharType="begin"/>
      </w:r>
      <w:r>
        <w:instrText xml:space="preserve"> REF _Ref515992468 \r \h  \* MERGEFORMAT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4.2.2</w:t>
      </w:r>
      <w: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D63166" w:rsidRPr="005D5639" w:rsidRDefault="00D63166" w:rsidP="00D63166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63166" w:rsidRPr="005D5639" w:rsidRDefault="00D63166" w:rsidP="00D6316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63166" w:rsidRPr="005D5639" w:rsidRDefault="00D63166" w:rsidP="00D63166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  своих обязательств по Соглашению Стороны   несут ответственность в соответствии с законодательством Российской Федерации.</w:t>
      </w:r>
    </w:p>
    <w:p w:rsidR="00D63166" w:rsidRPr="005D5639" w:rsidRDefault="00D63166" w:rsidP="00D63166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                              с оформлением соответствующих протоколов или иных документов. При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не достижении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D63166" w:rsidRPr="005D5639" w:rsidRDefault="00D63166" w:rsidP="00D63166">
      <w:pPr>
        <w:numPr>
          <w:ilvl w:val="1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 до полного исполнения Сторонами своих обязательств по настоящему Соглашению.</w:t>
      </w:r>
      <w:bookmarkStart w:id="13" w:name="_Ref515993685"/>
    </w:p>
    <w:p w:rsidR="00D63166" w:rsidRPr="005D5639" w:rsidRDefault="00D63166" w:rsidP="00D63166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Соглашения, в том числе в соответствии                              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13"/>
      <w:r w:rsidRPr="005D5639">
        <w:rPr>
          <w:rFonts w:ascii="Times New Roman" w:eastAsia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увеличения Главному распорядителю ранее доведенных лимитов бюджетных обязательств на предоставление субсидии в целях реализации мероприятия программы развития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«Развитие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Большеберезниковского муниципального района» на 2019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-2025 годы,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ным Постановлением 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Pr="007A24BF">
        <w:rPr>
          <w:rFonts w:ascii="Times New Roman" w:eastAsia="Times New Roman" w:hAnsi="Times New Roman" w:cs="Times New Roman"/>
          <w:sz w:val="24"/>
          <w:szCs w:val="24"/>
        </w:rPr>
        <w:t xml:space="preserve">21.03.2019 №148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детей».</w:t>
      </w:r>
      <w:proofErr w:type="gramEnd"/>
    </w:p>
    <w:p w:rsidR="00D63166" w:rsidRPr="005D5639" w:rsidRDefault="00D63166" w:rsidP="00D63166">
      <w:pPr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Расторжение настоящего Соглашения Главным распорядителем                                   в одностороннем порядке возможно в случае:</w:t>
      </w:r>
    </w:p>
    <w:p w:rsidR="00D63166" w:rsidRPr="005D5639" w:rsidRDefault="00D63166" w:rsidP="00D63166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или прекращения деятельности Получателя;</w:t>
      </w:r>
    </w:p>
    <w:p w:rsidR="00D63166" w:rsidRPr="005D5639" w:rsidRDefault="00D63166" w:rsidP="00D63166">
      <w:pPr>
        <w:numPr>
          <w:ilvl w:val="2"/>
          <w:numId w:val="2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порядка, целей и условий предоставления Субсидии, установленных Порядком и настоящим Соглашением;</w:t>
      </w:r>
    </w:p>
    <w:p w:rsidR="00D63166" w:rsidRPr="005D5639" w:rsidRDefault="00D63166" w:rsidP="00D63166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требований Правил персонифицированного финансирования.</w:t>
      </w:r>
    </w:p>
    <w:p w:rsidR="00D63166" w:rsidRPr="005D5639" w:rsidRDefault="00D63166" w:rsidP="00D63166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D63166" w:rsidRPr="005D5639" w:rsidRDefault="00D63166" w:rsidP="00D63166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166" w:rsidRPr="005D5639" w:rsidRDefault="00D63166" w:rsidP="00D63166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 прилагаются и являются его неотъемлемыми частями приложения, подписанные Сторонами: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D63166" w:rsidRPr="005D5639" w:rsidRDefault="00D63166" w:rsidP="00D6316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 w:rsidP="00D6316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 w:rsidP="00D6316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 w:rsidP="00D6316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 w:rsidP="00D6316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D63166" w:rsidRPr="005D5639" w:rsidTr="00FB74EF">
        <w:tc>
          <w:tcPr>
            <w:tcW w:w="481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D63166" w:rsidRPr="005D5639" w:rsidTr="00FB74EF">
        <w:tc>
          <w:tcPr>
            <w:tcW w:w="481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D63166" w:rsidRPr="005D5639" w:rsidTr="00FB74EF">
        <w:tc>
          <w:tcPr>
            <w:tcW w:w="481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63166" w:rsidRPr="005D5639" w:rsidTr="00FB74EF">
        <w:tc>
          <w:tcPr>
            <w:tcW w:w="481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63166" w:rsidRPr="005D5639" w:rsidTr="00FB74EF">
        <w:tc>
          <w:tcPr>
            <w:tcW w:w="481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63166" w:rsidRPr="005D5639" w:rsidTr="00FB74EF">
        <w:trPr>
          <w:trHeight w:val="20"/>
        </w:trPr>
        <w:tc>
          <w:tcPr>
            <w:tcW w:w="4825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63166" w:rsidRPr="005D5639" w:rsidTr="00FB74EF">
        <w:trPr>
          <w:trHeight w:val="20"/>
        </w:trPr>
        <w:tc>
          <w:tcPr>
            <w:tcW w:w="4825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D63166" w:rsidRPr="005D5639" w:rsidRDefault="00D63166" w:rsidP="00FB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Pr="005D5639" w:rsidRDefault="00D63166" w:rsidP="00D6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166" w:rsidRDefault="00D63166" w:rsidP="00D63166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:rsidR="00D63166" w:rsidRDefault="00D63166" w:rsidP="00D6316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t xml:space="preserve"> </w:t>
      </w:r>
    </w:p>
    <w:p w:rsidR="00D63166" w:rsidRDefault="00D63166" w:rsidP="00D6316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D63166" w:rsidRDefault="00D63166" w:rsidP="00D63166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2.</w:t>
      </w:r>
    </w:p>
    <w:p w:rsidR="00D63166" w:rsidRDefault="00D63166" w:rsidP="00D63166">
      <w:pPr>
        <w:jc w:val="right"/>
        <w:rPr>
          <w:rFonts w:ascii="Times New Roman" w:hAnsi="Times New Roman"/>
          <w:sz w:val="24"/>
          <w:szCs w:val="28"/>
        </w:rPr>
      </w:pPr>
    </w:p>
    <w:p w:rsidR="00D63166" w:rsidRDefault="00D63166" w:rsidP="00D63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Большеберезниковского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2022году.</w:t>
      </w:r>
    </w:p>
    <w:p w:rsidR="00D63166" w:rsidRDefault="00D63166" w:rsidP="00D63166">
      <w:pPr>
        <w:rPr>
          <w:rFonts w:ascii="Times New Roman" w:hAnsi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662"/>
      </w:tblGrid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Губанищева Ольга Валентиновна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по социальной работе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Большеберезниковского муниципального района                              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 работе, председатель комиссии;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Бояркин Андрей Владимирович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Заместитель Главы Большеберезниковского муниципального района, начальник управления финансов, заместитель председателя;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 xml:space="preserve">Дурнайкина Людмила Анатольевна 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 xml:space="preserve">Директор МБУ ДО «Большеберезниковский «Дом детского творчества», </w:t>
            </w:r>
            <w:r>
              <w:rPr>
                <w:rFonts w:ascii="Times New Roman" w:hAnsi="Times New Roman"/>
                <w:sz w:val="24"/>
                <w:szCs w:val="28"/>
              </w:rPr>
              <w:t>секретарь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3166" w:rsidRPr="0067333C" w:rsidTr="00FB74EF">
        <w:tc>
          <w:tcPr>
            <w:tcW w:w="9464" w:type="dxa"/>
            <w:gridSpan w:val="3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</w:tr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Танаева Марина Александровна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Заведующая отделом по работе с учреждениями образования администрации Большеберезниковского муниципального района;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Прохорова Светлана Вячеславовна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директор МКУ «Центр обслуживания муниципальных учреждений Большеберезниковского муниципального района», ответственный по ведению финансовой отчетности;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3166" w:rsidRPr="0067333C" w:rsidTr="00FB74EF">
        <w:tc>
          <w:tcPr>
            <w:tcW w:w="237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Прокин Пётр Семёнович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Илюшова Елена Ивановна</w:t>
            </w:r>
          </w:p>
        </w:tc>
        <w:tc>
          <w:tcPr>
            <w:tcW w:w="426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63166" w:rsidRPr="0067333C" w:rsidRDefault="00D63166" w:rsidP="00FB74E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63166" w:rsidRPr="0067333C" w:rsidRDefault="00D63166" w:rsidP="00FB74EF">
            <w:pPr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63166" w:rsidRPr="0067333C" w:rsidRDefault="00D63166" w:rsidP="00FB74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>Директор МБУ ДО «Большеберезниковская ДЮСШ»;</w:t>
            </w:r>
          </w:p>
          <w:p w:rsidR="00D63166" w:rsidRPr="0067333C" w:rsidRDefault="00D63166" w:rsidP="00FB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66" w:rsidRPr="0067333C" w:rsidRDefault="00D63166" w:rsidP="00FB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66" w:rsidRPr="0067333C" w:rsidRDefault="00D63166" w:rsidP="00FB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>Врио директора МКУ «ЦИМО МОУ».</w:t>
            </w:r>
          </w:p>
        </w:tc>
      </w:tr>
    </w:tbl>
    <w:p w:rsidR="00D63166" w:rsidRDefault="00D63166" w:rsidP="00D63166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D63166" w:rsidRDefault="00D63166" w:rsidP="00D6316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D63166" w:rsidRDefault="00D63166" w:rsidP="00D63166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3.</w:t>
      </w:r>
    </w:p>
    <w:p w:rsidR="00D63166" w:rsidRDefault="00D63166" w:rsidP="00D63166">
      <w:pPr>
        <w:jc w:val="right"/>
        <w:rPr>
          <w:rFonts w:ascii="Times New Roman" w:hAnsi="Times New Roman"/>
          <w:sz w:val="24"/>
          <w:szCs w:val="28"/>
        </w:rPr>
      </w:pPr>
    </w:p>
    <w:p w:rsidR="00D63166" w:rsidRDefault="00D63166" w:rsidP="00D63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Положение о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Большеберезниковского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2022 году.</w:t>
      </w:r>
    </w:p>
    <w:p w:rsidR="00D63166" w:rsidRDefault="00D63166" w:rsidP="00D63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166" w:rsidRDefault="00D63166" w:rsidP="00D6316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и (далее – Участники) 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2022 году</w:t>
      </w:r>
      <w:r>
        <w:rPr>
          <w:rFonts w:ascii="Times New Roman" w:hAnsi="Times New Roman" w:cs="Times New Roman"/>
          <w:sz w:val="24"/>
        </w:rPr>
        <w:t>.</w:t>
      </w:r>
    </w:p>
    <w:p w:rsidR="00D63166" w:rsidRDefault="00D63166" w:rsidP="00D6316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D63166" w:rsidRDefault="00D63166" w:rsidP="00D6316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конкурсной комиссии считается правомочным, в случае если в нем принимает участие не менее половины членов конкурсной комиссии.</w:t>
      </w:r>
    </w:p>
    <w:p w:rsidR="00D63166" w:rsidRDefault="00D63166" w:rsidP="00D6316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D63166" w:rsidRDefault="00D63166" w:rsidP="00D6316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D63166" w:rsidRDefault="00D63166" w:rsidP="00D631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3166" w:rsidRDefault="00D63166" w:rsidP="00D631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3166" w:rsidRPr="00A83E29" w:rsidRDefault="00D63166" w:rsidP="00D63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D63166">
      <w:pPr>
        <w:jc w:val="center"/>
        <w:rPr>
          <w:rFonts w:ascii="Times New Roman" w:hAnsi="Times New Roman" w:cs="Times New Roman"/>
          <w:sz w:val="24"/>
        </w:rPr>
      </w:pPr>
      <w:bookmarkStart w:id="14" w:name="_GoBack"/>
      <w:bookmarkEnd w:id="14"/>
    </w:p>
    <w:p w:rsidR="00FB5AE2" w:rsidRDefault="00FB5AE2" w:rsidP="00FB5A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5AE2" w:rsidRPr="00A83E29" w:rsidRDefault="00FB5AE2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5AE2" w:rsidRPr="00A83E29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447ED" w15:done="0"/>
  <w15:commentEx w15:paraId="32CD2D6D" w15:done="0"/>
  <w15:commentEx w15:paraId="12CC3690" w15:done="0"/>
  <w15:commentEx w15:paraId="3C1B72F6" w15:done="0"/>
  <w15:commentEx w15:paraId="5F90A147" w15:done="0"/>
  <w15:commentEx w15:paraId="59CD9B55" w15:done="0"/>
  <w15:commentEx w15:paraId="04609496" w15:done="0"/>
  <w15:commentEx w15:paraId="5933B9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74A"/>
    <w:multiLevelType w:val="multilevel"/>
    <w:tmpl w:val="B4AA7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2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4E68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0840"/>
    <w:rsid w:val="000C1254"/>
    <w:rsid w:val="000C1E21"/>
    <w:rsid w:val="000C32D6"/>
    <w:rsid w:val="000C3F9F"/>
    <w:rsid w:val="000C629F"/>
    <w:rsid w:val="000D01D3"/>
    <w:rsid w:val="000D1670"/>
    <w:rsid w:val="000D1C67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E7B93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46D95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138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010E"/>
    <w:rsid w:val="001921B0"/>
    <w:rsid w:val="00192875"/>
    <w:rsid w:val="00194005"/>
    <w:rsid w:val="00194D39"/>
    <w:rsid w:val="00197EBC"/>
    <w:rsid w:val="001A048A"/>
    <w:rsid w:val="001A0AC7"/>
    <w:rsid w:val="001A1867"/>
    <w:rsid w:val="001A1AB7"/>
    <w:rsid w:val="001A331C"/>
    <w:rsid w:val="001A4E31"/>
    <w:rsid w:val="001A5F01"/>
    <w:rsid w:val="001A72F2"/>
    <w:rsid w:val="001B078C"/>
    <w:rsid w:val="001B3E70"/>
    <w:rsid w:val="001B4375"/>
    <w:rsid w:val="001B48D1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1E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579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44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0CD2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5767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431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6C8C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0FD5"/>
    <w:rsid w:val="0058105D"/>
    <w:rsid w:val="0058267E"/>
    <w:rsid w:val="00584905"/>
    <w:rsid w:val="00584C9A"/>
    <w:rsid w:val="00586B94"/>
    <w:rsid w:val="00587137"/>
    <w:rsid w:val="00590977"/>
    <w:rsid w:val="005918B2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388"/>
    <w:rsid w:val="005D34F7"/>
    <w:rsid w:val="005D45E3"/>
    <w:rsid w:val="005D48A0"/>
    <w:rsid w:val="005D498A"/>
    <w:rsid w:val="005D4C3C"/>
    <w:rsid w:val="005D5639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D4"/>
    <w:rsid w:val="005F40E8"/>
    <w:rsid w:val="005F628A"/>
    <w:rsid w:val="005F6C73"/>
    <w:rsid w:val="005F7266"/>
    <w:rsid w:val="005F7285"/>
    <w:rsid w:val="00601188"/>
    <w:rsid w:val="00603DDC"/>
    <w:rsid w:val="00604C40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33C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6C7D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1D21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4BF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C8C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72A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0B96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0F66"/>
    <w:rsid w:val="008C110B"/>
    <w:rsid w:val="008C1702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D76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0F68"/>
    <w:rsid w:val="009D1639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34C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3587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F47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FA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BB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3765F"/>
    <w:rsid w:val="00B4024A"/>
    <w:rsid w:val="00B40954"/>
    <w:rsid w:val="00B41019"/>
    <w:rsid w:val="00B424D3"/>
    <w:rsid w:val="00B445D1"/>
    <w:rsid w:val="00B44CBF"/>
    <w:rsid w:val="00B45469"/>
    <w:rsid w:val="00B50648"/>
    <w:rsid w:val="00B50C3E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1AA9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DC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166"/>
    <w:rsid w:val="00D63907"/>
    <w:rsid w:val="00D63C0E"/>
    <w:rsid w:val="00D65241"/>
    <w:rsid w:val="00D66247"/>
    <w:rsid w:val="00D66AF6"/>
    <w:rsid w:val="00D67360"/>
    <w:rsid w:val="00D71E03"/>
    <w:rsid w:val="00D72E43"/>
    <w:rsid w:val="00D732A6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07A7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655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6AED"/>
    <w:rsid w:val="00E57D5C"/>
    <w:rsid w:val="00E623E3"/>
    <w:rsid w:val="00E628A4"/>
    <w:rsid w:val="00E62DC7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637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E2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00B-B8EF-49A3-A11E-1C65F20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7</cp:revision>
  <cp:lastPrinted>2020-06-01T08:12:00Z</cp:lastPrinted>
  <dcterms:created xsi:type="dcterms:W3CDTF">2020-12-30T08:45:00Z</dcterms:created>
  <dcterms:modified xsi:type="dcterms:W3CDTF">2021-12-16T11:24:00Z</dcterms:modified>
</cp:coreProperties>
</file>