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Муниципальное дошкольное образовательное учреждение 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“Детский сад №22 комбинированного”</w:t>
      </w:r>
    </w:p>
    <w:p>
      <w:pPr>
        <w:pStyle w:val="a5"/>
        <w:jc w:val="center"/>
        <w:rPr/>
      </w:pPr>
    </w:p>
    <w:p>
      <w:pPr>
        <w:pStyle w:val="a5"/>
        <w:jc w:val="center"/>
        <w:rPr/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sz w:val="30"/>
          <w:szCs w:val="30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sz w:val="30"/>
          <w:szCs w:val="30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sz w:val="30"/>
          <w:szCs w:val="30"/>
        </w:rPr>
        <w:t xml:space="preserve">Конспект 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занятия по образовательной области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физическое развитие</w:t>
      </w: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30"/>
          <w:szCs w:val="30"/>
        </w:rPr>
      </w:pPr>
      <w:r>
        <w:rPr>
          <w:rFonts w:ascii="Times New Roman" w:eastAsia="Times New Roman" w:hAnsi="Times New Roman" w:hint="default"/>
          <w:sz w:val="26"/>
          <w:szCs w:val="26"/>
        </w:rPr>
        <w:t>на тему:</w:t>
      </w:r>
      <w:r>
        <w:rPr>
          <w:rFonts w:ascii="Times New Roman" w:eastAsia="Times New Roman" w:hAnsi="Times New Roman" w:hint="default"/>
          <w:b/>
          <w:bCs/>
          <w:sz w:val="30"/>
          <w:szCs w:val="30"/>
        </w:rPr>
        <w:t>”</w:t>
      </w:r>
      <w:r>
        <w:rPr>
          <w:rFonts w:ascii="Times New Roman" w:eastAsia="Times New Roman" w:hAnsi="Times New Roman" w:hint="default"/>
          <w:b/>
          <w:bCs/>
          <w:sz w:val="30"/>
          <w:szCs w:val="30"/>
          <w:rtl w:val="off"/>
        </w:rPr>
        <w:t>Равновесие</w:t>
      </w:r>
      <w:r>
        <w:rPr>
          <w:rFonts w:ascii="Times New Roman" w:eastAsia="Times New Roman" w:hAnsi="Times New Roman" w:hint="default"/>
          <w:b/>
          <w:bCs/>
          <w:sz w:val="34"/>
          <w:szCs w:val="34"/>
        </w:rPr>
        <w:t>”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(для детей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старшей </w:t>
      </w:r>
      <w:r>
        <w:rPr>
          <w:rFonts w:ascii="Times New Roman" w:eastAsia="Times New Roman" w:hAnsi="Times New Roman" w:hint="default"/>
          <w:sz w:val="26"/>
          <w:szCs w:val="26"/>
        </w:rPr>
        <w:t>группы)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pStyle w:val="a5"/>
        <w:rPr>
          <w:rtl w:val="off"/>
        </w:rPr>
      </w:pPr>
      <w:r>
        <w:rPr>
          <w:rtl w:val="off"/>
        </w:rPr>
        <w:t xml:space="preserve">                                                                                                                                            </w:t>
      </w:r>
    </w:p>
    <w:p>
      <w:pPr>
        <w:pStyle w:val="a5"/>
        <w:rPr>
          <w:rtl w:val="off"/>
        </w:rPr>
      </w:pPr>
    </w:p>
    <w:p>
      <w:pPr>
        <w:pStyle w:val="a5"/>
        <w:rPr>
          <w:rtl w:val="off"/>
        </w:rPr>
      </w:pPr>
      <w:r>
        <w:rPr>
          <w:rtl w:val="off"/>
        </w:rPr>
        <w:t xml:space="preserve">   </w:t>
      </w:r>
      <w:r>
        <w:rPr/>
        <w:t xml:space="preserve"> </w:t>
      </w:r>
      <w:r>
        <w:rPr>
          <w:rtl w:val="off"/>
        </w:rPr>
        <w:t xml:space="preserve">                                                                                                                                          </w:t>
      </w:r>
    </w:p>
    <w:p>
      <w:pPr>
        <w:pStyle w:val="a5"/>
        <w:rPr>
          <w:rtl w:val="off"/>
        </w:rPr>
      </w:pPr>
      <w:r>
        <w:rPr>
          <w:rtl w:val="off"/>
        </w:rPr>
        <w:t xml:space="preserve">                                                                                                                                                </w:t>
      </w:r>
    </w:p>
    <w:p>
      <w:pPr>
        <w:pStyle w:val="a5"/>
        <w:jc w:val="left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tl w:val="off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Выполнила инструктор:</w:t>
      </w:r>
    </w:p>
    <w:p>
      <w:pPr>
        <w:pStyle w:val="a5"/>
        <w:jc w:val="left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                                                                                                          по физической культуре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                                                                                                          Назарова Е.Н.</w:t>
      </w: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 w:hint="default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>Саранск 2020</w:t>
      </w:r>
    </w:p>
    <w:p>
      <w:pPr>
        <w:spacing w:after="160" w:line="259" w:lineRule="auto"/>
        <w:rPr>
          <w:rtl w:val="off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Цель: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Формирование умение правильно  выполнять ходьбу по гимнастической скамейке.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Задачи: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1</w:t>
      </w:r>
      <w:r>
        <w:rPr>
          <w:rFonts w:ascii="Times New Roman" w:eastAsia="Times New Roman" w:hAnsi="Times New Roman" w:hint="default"/>
          <w:sz w:val="26"/>
          <w:szCs w:val="26"/>
        </w:rPr>
        <w:t>.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Продолжать </w:t>
      </w:r>
      <w:r>
        <w:rPr>
          <w:rFonts w:ascii="Times New Roman" w:eastAsia="Times New Roman" w:hAnsi="Times New Roman" w:hint="default"/>
          <w:sz w:val="26"/>
          <w:szCs w:val="26"/>
        </w:rPr>
        <w:t xml:space="preserve">упражнять детей в построении  шеренгу, перестроении в колонны, ходьба в колонне по одному с выполнением заданий по сигналу инструтора, ходьба с перешагиванием через кубики. 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2.</w:t>
      </w:r>
      <w:r>
        <w:rPr>
          <w:rFonts w:ascii="Times New Roman" w:eastAsia="Times New Roman" w:hAnsi="Times New Roman" w:hint="default"/>
          <w:sz w:val="26"/>
          <w:szCs w:val="26"/>
        </w:rPr>
        <w:t>Отрабатывать умение выполнять ходьбу по гимнастической скамейке.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3. Формировать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силу мышц ног и мышц плечевого пояса в процессе формирования двигательных умений и навыков, повторить принятие правильной стойки  при метании,  метание на дальность.</w:t>
      </w:r>
      <w:r>
        <w:rPr>
          <w:rFonts w:ascii="Times New Roman" w:eastAsia="Times New Roman" w:hAnsi="Times New Roman" w:hint="default"/>
          <w:sz w:val="26"/>
          <w:szCs w:val="26"/>
        </w:rPr>
        <w:t> 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Материал и оборудование: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гимнастическая скамейка, мячи, мешки для метания,кубики, </w:t>
      </w:r>
      <w:r>
        <w:rPr>
          <w:rFonts w:ascii="Times New Roman" w:eastAsia="Times New Roman" w:hAnsi="Times New Roman" w:hint="default"/>
          <w:sz w:val="26"/>
          <w:szCs w:val="26"/>
        </w:rPr>
        <w:t>музыка</w:t>
      </w:r>
      <w:r>
        <w:rPr>
          <w:rFonts w:ascii="Times New Roman" w:eastAsia="Times New Roman" w:hAnsi="Times New Roman" w:hint="default"/>
          <w:sz w:val="26"/>
          <w:szCs w:val="26"/>
        </w:rPr>
        <w:t>льное сопровождение.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Ход занятия: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I часть</w:t>
      </w:r>
      <w:r>
        <w:rPr>
          <w:rFonts w:ascii="Times New Roman" w:eastAsia="Times New Roman" w:hAnsi="Times New Roman" w:hint="default"/>
          <w:sz w:val="26"/>
          <w:szCs w:val="26"/>
        </w:rPr>
        <w:t>.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Построение в шеренгу, перестроение в колонну. Ходьба в колонне по одному с выполнением заданий по сигналу </w:t>
      </w:r>
      <w:r>
        <w:rPr>
          <w:rFonts w:ascii="Times New Roman" w:eastAsia="Times New Roman" w:hAnsi="Times New Roman" w:hint="default"/>
          <w:sz w:val="26"/>
          <w:szCs w:val="26"/>
        </w:rPr>
        <w:t>инструтора</w:t>
      </w:r>
      <w:r>
        <w:rPr>
          <w:rFonts w:ascii="Times New Roman" w:eastAsia="Times New Roman" w:hAnsi="Times New Roman" w:hint="default"/>
          <w:sz w:val="26"/>
          <w:szCs w:val="26"/>
        </w:rPr>
        <w:t xml:space="preserve">; ходьба с перешагиванием через кубики, бег 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на скорость.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II часть. Общеразвивающие упражнениия с мячом.</w:t>
      </w:r>
      <w:r>
        <w:rPr>
          <w:rFonts w:ascii="Times New Roman" w:eastAsia="Times New Roman" w:hAnsi="Times New Roman" w:hint="default"/>
          <w:sz w:val="26"/>
          <w:szCs w:val="26"/>
        </w:rPr>
        <w:br/>
      </w:r>
      <w:r>
        <w:rPr>
          <w:rFonts w:ascii="Times New Roman" w:eastAsia="Times New Roman" w:hAnsi="Times New Roman" w:hint="default"/>
          <w:sz w:val="26"/>
          <w:szCs w:val="26"/>
        </w:rPr>
        <w:t>1. И. п.: ноги врозь, мяч в правой руке. 1— руки в стороны;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2 — руки вперед, переложить мяч в левую руку; З — руки в стороны; 4— вернуться в исходное положение (6—7 раз).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2. К. п.: ноги врозь, мяч в правой руке. 1 — наклон вперед,положить мяч на пол между ног; 2 — выпрямиться, руки на пояс;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3 — наклон вперед, взять мяч левой рукой; 4 — выпрямиться, мяч в левой руке. То же левой рукой (7—8 раз).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3.. И. п.: стойка на коленях, мяч в правой руке. 1—З прокатить мяч вокруг туловища; 4 — взять мяч левой рукой. То же другой рукой (по 4 раза в каждую сторону).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4. И. п.: ноги на ширине ступни, мяч в правой руке внизу.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1 — присесть, руки вперед, переложить мяч в левую руку; 2 — встать, вернуться в исходное положение (6—7 раз)..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5. И. п.: ноги врозь, мяч в правой руке. 1 — руки в стороны;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2 — руки за спину, переложить мяч в левую руку; З — руки в стороны; 4 — вернуться в исходное положение, мяч в левой руке. То же другой рукой (6—8 раз).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6. И. п.: ноги врозь, мяч в обеих руках внизу. Подбрасывание мяча вверх (подряд 3—4 раза), пауза и вновь броски (3—4 раза).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7. И. п.: основная стойка, мяч в правой руке. Прыжки подсчет воспитателя 1—8: ноги врозь, ноги скрестно, пауза и снова прыжки (повторить З—4 раза).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Основные виды движений.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1. Метание мешочков в вертикальную цель с расстояния 4 м (правой и левой рукой) — б раз.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2. Ходьба по гимнастической скамейке, руки в стороны, приставляя пятку одной ноги к носку другой (2—3 раза).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3. Переползание через скамейку в чередовании с ходьбой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Дети целятся на звенья по количеству мишеней и встают в колонны друг за другом, у каждого в руках по два мешочка. Инструктор показывает упражнение, обращает внимание на энергичный замах, точность попадания в цель при правильном исходном положении ног и туловища. После того как все дети выполнят по два броска, подается сигнал к сбору мешочков первым звеном, затем вторым и третьим.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Инструктор  ставит поперек зала две гимнастические скамейки на расстоянии 4 м одну от другой. Дети шеренгами выполняют  на четверень</w:t>
      </w:r>
      <w:r>
        <w:rPr>
          <w:rFonts w:ascii="Times New Roman" w:eastAsia="Times New Roman" w:hAnsi="Times New Roman" w:hint="default"/>
          <w:sz w:val="26"/>
          <w:szCs w:val="26"/>
        </w:rPr>
        <w:t xml:space="preserve">ках по прямой до скамейки, затем переползание через нее, снова ползание до следующей скамейки и опять переползание. 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После того как обе шеренги детей выполнят упражнение 2 раза, подается команда к построению в две колонны и выполнению упражнения в равновесии.</w:t>
      </w:r>
    </w:p>
    <w:p>
      <w:pPr>
        <w:pStyle w:val="a5"/>
        <w:ind w:leftChars="0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«Мяч в кругу». Играющие разбиваются на несколько групп по 5-—б человек и строятся в круги. В центре круга водящий, у него перед ногами большой мяч (диаметр 25 см). Водящий прокатывает игрокам мяч ногой (вас ногой); каждый на несколько секунд задерживает его, принимая ногой, и снова посылает водящему.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Подвижная игра «Горелки» 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 В игре принимают участие нечетное количество детей, которые становятся парами и держатся за руки. Впереди колонны находится водящий, который смотрит вперед. Дети хором повторяют слова: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Гори, гори ясно,</w:t>
      </w:r>
      <w:r>
        <w:rPr>
          <w:rFonts w:ascii="Times New Roman" w:eastAsia="Times New Roman" w:hAnsi="Times New Roman" w:hint="default"/>
          <w:sz w:val="26"/>
          <w:szCs w:val="26"/>
        </w:rPr>
        <w:br/>
      </w:r>
      <w:r>
        <w:rPr>
          <w:rFonts w:ascii="Times New Roman" w:eastAsia="Times New Roman" w:hAnsi="Times New Roman" w:hint="default"/>
          <w:sz w:val="26"/>
          <w:szCs w:val="26"/>
        </w:rPr>
        <w:t>Чтобы не погасло,</w:t>
      </w:r>
      <w:r>
        <w:rPr>
          <w:rFonts w:ascii="Times New Roman" w:eastAsia="Times New Roman" w:hAnsi="Times New Roman" w:hint="default"/>
          <w:sz w:val="26"/>
          <w:szCs w:val="26"/>
        </w:rPr>
        <w:br/>
      </w:r>
      <w:r>
        <w:rPr>
          <w:rFonts w:ascii="Times New Roman" w:eastAsia="Times New Roman" w:hAnsi="Times New Roman" w:hint="default"/>
          <w:sz w:val="26"/>
          <w:szCs w:val="26"/>
        </w:rPr>
        <w:t>Глянь на небо —</w:t>
      </w:r>
      <w:r>
        <w:rPr>
          <w:rFonts w:ascii="Times New Roman" w:eastAsia="Times New Roman" w:hAnsi="Times New Roman" w:hint="default"/>
          <w:sz w:val="26"/>
          <w:szCs w:val="26"/>
        </w:rPr>
        <w:br/>
      </w:r>
      <w:r>
        <w:rPr>
          <w:rFonts w:ascii="Times New Roman" w:eastAsia="Times New Roman" w:hAnsi="Times New Roman" w:hint="default"/>
          <w:sz w:val="26"/>
          <w:szCs w:val="26"/>
        </w:rPr>
        <w:t>Птички летят,</w:t>
      </w:r>
      <w:r>
        <w:rPr>
          <w:rFonts w:ascii="Times New Roman" w:eastAsia="Times New Roman" w:hAnsi="Times New Roman" w:hint="default"/>
          <w:sz w:val="26"/>
          <w:szCs w:val="26"/>
        </w:rPr>
        <w:br/>
      </w:r>
      <w:r>
        <w:rPr>
          <w:rFonts w:ascii="Times New Roman" w:eastAsia="Times New Roman" w:hAnsi="Times New Roman" w:hint="default"/>
          <w:sz w:val="26"/>
          <w:szCs w:val="26"/>
        </w:rPr>
        <w:t>Колокольчики звенят!</w:t>
      </w:r>
      <w:r>
        <w:rPr>
          <w:rFonts w:ascii="Times New Roman" w:eastAsia="Times New Roman" w:hAnsi="Times New Roman" w:hint="default"/>
          <w:sz w:val="26"/>
          <w:szCs w:val="26"/>
        </w:rPr>
        <w:br/>
      </w:r>
      <w:r>
        <w:rPr>
          <w:rFonts w:ascii="Times New Roman" w:eastAsia="Times New Roman" w:hAnsi="Times New Roman" w:hint="default"/>
          <w:sz w:val="26"/>
          <w:szCs w:val="26"/>
        </w:rPr>
        <w:t>Раз! Два! Три! Беги!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Как только участники произнесут слово «Беги!», стоящие в последней паре в колонне отпускает руки и бегут вдоль колонны вперед, один с правой стороны, другой — с левой. Их задача — выбежать вперед, встать перед водящим и снова взяться за руки. Водящий, в свою очередь, должен поймать кого-то из этой пары до того момента, как они возьмутся за руки. Если получится поймать, то водящий с пойманным образует новую пару, а участник, оставшийся без пары, теперь будет водить.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br/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III часть. Ходьба в колонне по одному 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1</cp:revision>
  <dcterms:created xsi:type="dcterms:W3CDTF">2020-04-21T03:29:56Z</dcterms:created>
  <dcterms:modified xsi:type="dcterms:W3CDTF">2020-05-01T07:05:58Z</dcterms:modified>
  <cp:version>0900.0100.01</cp:version>
</cp:coreProperties>
</file>