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8C" w:rsidRDefault="00F067EC">
      <w:pPr>
        <w:spacing w:after="150" w:line="360" w:lineRule="auto"/>
        <w:jc w:val="both"/>
        <w:rPr>
          <w:sz w:val="24"/>
          <w:szCs w:val="24"/>
        </w:rPr>
      </w:pPr>
      <w:bookmarkStart w:id="0" w:name="_GoBack"/>
      <w:r w:rsidRPr="00F067EC">
        <w:rPr>
          <w:rFonts w:ascii="Times New Roman" w:eastAsia="Times New Roman" w:hAnsi="Times New Roman" w:cs="Times New Roman"/>
          <w:b/>
          <w:color w:val="000000" w:themeColor="text1"/>
          <w:spacing w:val="-15"/>
          <w:sz w:val="24"/>
          <w:szCs w:val="24"/>
          <w:lang w:eastAsia="ru-RU"/>
        </w:rPr>
        <w:t>Семинар - практикум</w:t>
      </w:r>
      <w:r w:rsidR="00541741">
        <w:rPr>
          <w:rFonts w:ascii="Times New Roman" w:eastAsia="Times New Roman" w:hAnsi="Times New Roman" w:cs="Times New Roman"/>
          <w:color w:val="000000" w:themeColor="text1"/>
          <w:spacing w:val="-15"/>
          <w:sz w:val="24"/>
          <w:szCs w:val="24"/>
          <w:lang w:eastAsia="ru-RU"/>
        </w:rPr>
        <w:t xml:space="preserve"> </w:t>
      </w:r>
      <w:r w:rsidR="00541741">
        <w:rPr>
          <w:rFonts w:ascii="Times New Roman" w:eastAsia="Times New Roman" w:hAnsi="Times New Roman" w:cs="Times New Roman"/>
          <w:b/>
          <w:bCs/>
          <w:color w:val="000000" w:themeColor="text1"/>
          <w:spacing w:val="-15"/>
          <w:sz w:val="24"/>
          <w:szCs w:val="24"/>
          <w:lang w:eastAsia="ru-RU"/>
        </w:rPr>
        <w:t xml:space="preserve"> </w:t>
      </w:r>
      <w:r w:rsidR="00541741">
        <w:rPr>
          <w:rFonts w:ascii="Times New Roman" w:eastAsia="Times New Roman" w:hAnsi="Times New Roman" w:cs="Times New Roman"/>
          <w:b/>
          <w:bCs/>
          <w:color w:val="000000" w:themeColor="text1"/>
          <w:sz w:val="24"/>
          <w:szCs w:val="24"/>
          <w:lang w:eastAsia="ru-RU"/>
        </w:rPr>
        <w:t>«Развитие интереса к природе и любознательности у дошкольников с помощью дидактических игр»</w:t>
      </w:r>
    </w:p>
    <w:bookmarkEnd w:id="0"/>
    <w:p w:rsidR="00682C8C" w:rsidRDefault="00541741" w:rsidP="00D40CFB">
      <w:pPr>
        <w:spacing w:after="0" w:line="360" w:lineRule="auto"/>
        <w:ind w:firstLine="1276"/>
        <w:jc w:val="both"/>
        <w:rPr>
          <w:sz w:val="24"/>
          <w:szCs w:val="24"/>
        </w:rPr>
      </w:pPr>
      <w:r>
        <w:rPr>
          <w:rFonts w:ascii="Times New Roman" w:hAnsi="Times New Roman"/>
          <w:sz w:val="24"/>
          <w:szCs w:val="24"/>
        </w:rPr>
        <w:t xml:space="preserve">Природа – неиссякаемый источник духовного обогащения детей. Дети в той или иной форме соприкасаются с природой. Их привлекают зелёные луга и леса, яркие цветы, бабочки и т.д. Бесконечный мир природы пробуждает у детей живой интерес, любознательность, побуждает их к художественно – речевой деятельности, к игре. Разнообразие, яркость, красота природы, наглядность её связей и зависимостей обеспечивает доступность их понимания детьми и оказывает существенное влияние на совершенствование их мыслительной деятельности, что проявляется в их логичности, самостоятельности мышления. </w:t>
      </w:r>
    </w:p>
    <w:p w:rsidR="00682C8C" w:rsidRDefault="00541741" w:rsidP="00D40CFB">
      <w:pPr>
        <w:spacing w:after="0" w:line="360" w:lineRule="auto"/>
        <w:ind w:firstLine="1276"/>
        <w:jc w:val="both"/>
        <w:rPr>
          <w:sz w:val="24"/>
          <w:szCs w:val="24"/>
        </w:rPr>
      </w:pPr>
      <w:r>
        <w:rPr>
          <w:rFonts w:ascii="Times New Roman" w:hAnsi="Times New Roman"/>
          <w:sz w:val="24"/>
          <w:szCs w:val="24"/>
        </w:rPr>
        <w:t>Ребёнок учится находить и правильно определять словом причинную и временную зависимость предметов и явлений природы, т.е. учиться элементарно объяснять наблюдаемое. Совершенствуются умения детей сопоставлять, сравнивать, делать выводы. Это создаёт предпосылки для формирования таких ценных качеств как достоверность, доказательность, последовательность, чёткость. Ребёнок учится рассуждать, рассказывать, описывать. Воспитатель должен уметь правильно отобрать познавательный материал и продумать методы и приёмы</w:t>
      </w:r>
      <w:r w:rsidR="00D40CFB">
        <w:rPr>
          <w:rFonts w:ascii="Times New Roman" w:hAnsi="Times New Roman"/>
          <w:sz w:val="24"/>
          <w:szCs w:val="24"/>
        </w:rPr>
        <w:t xml:space="preserve"> и средства</w:t>
      </w:r>
      <w:r>
        <w:rPr>
          <w:rFonts w:ascii="Times New Roman" w:hAnsi="Times New Roman"/>
          <w:sz w:val="24"/>
          <w:szCs w:val="24"/>
        </w:rPr>
        <w:t xml:space="preserve">, с помощью которых он сможет лучше всего передать его содержание. </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Одним из эффективных и наиболее интересных для детей средством экологического воспитания является дидактическ</w:t>
      </w:r>
      <w:r w:rsidR="00D40CFB">
        <w:rPr>
          <w:rFonts w:ascii="Times New Roman" w:eastAsia="Times New Roman" w:hAnsi="Times New Roman" w:cs="Times New Roman"/>
          <w:color w:val="000000" w:themeColor="text1"/>
          <w:sz w:val="24"/>
          <w:szCs w:val="24"/>
          <w:lang w:eastAsia="ru-RU"/>
        </w:rPr>
        <w:t>ая игра.</w:t>
      </w:r>
      <w:r>
        <w:rPr>
          <w:rFonts w:ascii="Times New Roman" w:eastAsia="Times New Roman" w:hAnsi="Times New Roman" w:cs="Times New Roman"/>
          <w:color w:val="000000" w:themeColor="text1"/>
          <w:sz w:val="24"/>
          <w:szCs w:val="24"/>
          <w:lang w:eastAsia="ru-RU"/>
        </w:rPr>
        <w:t xml:space="preserve"> В процессе игр формируются знания об окружающем мире, воспитываются познавательные интересы, любовь к природе, бережное и заботливое отношение к ней, а также эколого-целесообразное поведение в природе. Играя в игры по экологии, дети знакомятся со свойствами и качествами, состояниями объектов природы, усваивают способы установления этих свойств.</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xml:space="preserve">       В педагогике существует несколько видов дидактических игр. Дидактические игры можно разделить </w:t>
      </w:r>
      <w:r>
        <w:rPr>
          <w:rFonts w:ascii="Times New Roman" w:eastAsia="Times New Roman" w:hAnsi="Times New Roman" w:cs="Times New Roman"/>
          <w:b/>
          <w:bCs/>
          <w:color w:val="000000" w:themeColor="text1"/>
          <w:sz w:val="24"/>
          <w:szCs w:val="24"/>
          <w:lang w:eastAsia="ru-RU"/>
        </w:rPr>
        <w:t>на три основных вида:</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игры с предметами (игрушками, природным материалом);</w:t>
      </w:r>
    </w:p>
    <w:p w:rsidR="00682C8C" w:rsidRDefault="00541741">
      <w:pPr>
        <w:spacing w:after="0" w:line="360" w:lineRule="auto"/>
        <w:ind w:firstLine="709"/>
        <w:jc w:val="both"/>
        <w:rPr>
          <w:sz w:val="24"/>
          <w:szCs w:val="24"/>
        </w:rPr>
      </w:pPr>
      <w:r>
        <w:rPr>
          <w:rFonts w:ascii="Times New Roman" w:eastAsia="Times New Roman" w:hAnsi="Times New Roman" w:cs="Times New Roman"/>
          <w:color w:val="000000" w:themeColor="text1"/>
          <w:sz w:val="24"/>
          <w:szCs w:val="24"/>
          <w:lang w:eastAsia="ru-RU"/>
        </w:rPr>
        <w:t>- настольно-печатные игры;</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словесные игры.</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xml:space="preserve">     Предметные игры по экологии  - это игры с листьями, семенами, цветами, фруктами, овощами: «Чудесный мешочек», «Вершки и корешки», «Чьи детки на этой ветке».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Игры с предметами дают возможность решать различные воспитательно-образовательные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 </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lastRenderedPageBreak/>
        <w:t>Предметные игры особенно широко используются в младшей и средней группах. Они дают возможность детям оперировать предметами природы, сравнивать их, отмечать изменения отдельных внешних признаков.</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Среди игр с предметами особое место занимают сюжетно-дидактические игры и игры-инсценировки. В сюжетно-дидактических играх дети выполняют определенные роли, например, продавца, покупателя в игре «Магазин».</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Игры-инсценировки помогают уточнить представление о времени года, явлениях природы, объектах живой и неживой природы («Оденем куклу на прогулку», «Живое-неживое»), о литературных произведениях («Путешествие в страну экологических сказок и сказок о животных »), о нормах поведения в природе («Что такое хорошо и что такое плохо»).</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Настольно-печатные игры разнообразны по экологическому содержанию, обучающим задачам, оформлению,  такие как: - «Зоологическое лото», «Ботаническое лото», «Четыре времени года», «Малыши», «Ягоды и фрукты», «Растения», «Подбери листья», парные картинки. 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Игры сопровождают словом (слово или предваряет восприятие картинки, или сочетается с ним. Они помогают развивать мыслительные процессы.</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Словесные игры экологического содержания отличаются тем, что процесс решения обучающей задачи осуществляется в мыслительном плане, на основе представлений и без опоры на наглядность («Кто летает, бегает, прыгает», «В воде, воздухе, на земле», «Нужно - не нужно»). Они проводятся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Игры-занятия («Чудесный мешочек», «Цветочный магазин» и др.) имеют определенное программное содержание. Игровая форма придает играм-занятиям занимательность, обучение идет через игровые правила, игровые действия. Игры-занятия используются в младших и средних группах, в старших группах -  как часть занятия.</w:t>
      </w:r>
    </w:p>
    <w:p w:rsidR="00682C8C" w:rsidRDefault="00541741">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     Подвижные игры экологического характера тоже имеют дидактическую направленность, они  связаны с подражанием повадкам животных, их образу жизни, в некоторых отражаются явления неживой природы. Можно  использовать такие игры, как «Наседка и цыплята», «Мыши и кот», «Солнышко и дождик», «Волки и овцы». Дети, подражая действиям, имитирую звуки, в этих играх глубже усваивают знания, а эмоционально положительный настрой способствует углублению у них интереса к природе.</w:t>
      </w:r>
    </w:p>
    <w:p w:rsidR="00682C8C" w:rsidRDefault="00541741">
      <w:pPr>
        <w:spacing w:after="0" w:line="360" w:lineRule="auto"/>
        <w:ind w:firstLine="709"/>
        <w:jc w:val="both"/>
        <w:rPr>
          <w:sz w:val="24"/>
          <w:szCs w:val="24"/>
        </w:rPr>
      </w:pPr>
      <w:r>
        <w:rPr>
          <w:rFonts w:ascii="Times New Roman" w:eastAsia="Times New Roman" w:hAnsi="Times New Roman" w:cs="Times New Roman"/>
          <w:color w:val="000000" w:themeColor="text1"/>
          <w:sz w:val="24"/>
          <w:szCs w:val="24"/>
          <w:lang w:eastAsia="ru-RU"/>
        </w:rPr>
        <w:t>     Творческие игры отражают впечатления детей, полученные в процессе занятий, экскурсий, повседневной жизни, помогают усваивать знания о труде взрослых в природе (работа на птицеферме, в свинарнике, конюшне), при этом у них формируется положительное отношение к труду, они осознают значение труда взрослых в природе.</w:t>
      </w:r>
    </w:p>
    <w:p w:rsidR="00682C8C" w:rsidRDefault="00541741" w:rsidP="00964166">
      <w:pPr>
        <w:spacing w:after="0" w:line="360" w:lineRule="auto"/>
        <w:ind w:firstLine="993"/>
        <w:jc w:val="both"/>
        <w:rPr>
          <w:sz w:val="24"/>
          <w:szCs w:val="24"/>
        </w:rPr>
      </w:pPr>
      <w:r>
        <w:rPr>
          <w:rFonts w:ascii="Times New Roman" w:hAnsi="Times New Roman"/>
          <w:sz w:val="24"/>
          <w:szCs w:val="24"/>
        </w:rPr>
        <w:lastRenderedPageBreak/>
        <w:t xml:space="preserve">Организация дидактических игр осуществляется в трех основных направлениях: </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 подготовка к проведению дидактической игры, </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 её проведение </w:t>
      </w:r>
    </w:p>
    <w:p w:rsidR="00682C8C" w:rsidRDefault="00541741" w:rsidP="00964166">
      <w:pPr>
        <w:spacing w:after="0" w:line="360" w:lineRule="auto"/>
        <w:ind w:firstLine="993"/>
        <w:jc w:val="both"/>
        <w:rPr>
          <w:sz w:val="24"/>
          <w:szCs w:val="24"/>
        </w:rPr>
      </w:pPr>
      <w:r>
        <w:rPr>
          <w:rFonts w:ascii="Times New Roman" w:hAnsi="Times New Roman"/>
          <w:sz w:val="24"/>
          <w:szCs w:val="24"/>
        </w:rPr>
        <w:t> анализ</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 </w:t>
      </w:r>
      <w:r>
        <w:rPr>
          <w:rFonts w:ascii="Times New Roman" w:hAnsi="Times New Roman"/>
          <w:b/>
          <w:bCs/>
          <w:sz w:val="24"/>
          <w:szCs w:val="24"/>
        </w:rPr>
        <w:t>«Подготовка»</w:t>
      </w:r>
      <w:r>
        <w:rPr>
          <w:rFonts w:ascii="Times New Roman" w:hAnsi="Times New Roman"/>
          <w:sz w:val="24"/>
          <w:szCs w:val="24"/>
        </w:rPr>
        <w:t xml:space="preserve"> - отбор игры в соответствии с задачами воспитания и обучения: углубление и обобщение знаний, развитие сенсорных способностей, активизация психических процессов (память, внимание, мышление, речь и др.);</w:t>
      </w:r>
    </w:p>
    <w:p w:rsidR="00682C8C" w:rsidRDefault="00541741" w:rsidP="00964166">
      <w:pPr>
        <w:spacing w:after="0" w:line="360" w:lineRule="auto"/>
        <w:ind w:firstLine="993"/>
        <w:jc w:val="both"/>
        <w:rPr>
          <w:sz w:val="24"/>
          <w:szCs w:val="24"/>
        </w:rPr>
      </w:pPr>
      <w:r>
        <w:rPr>
          <w:rFonts w:ascii="Times New Roman" w:hAnsi="Times New Roman"/>
          <w:sz w:val="24"/>
          <w:szCs w:val="24"/>
        </w:rPr>
        <w:t>- установление соответствия отобранной игры программным требованиям воспитания и обучения детей определенной возрастной группы;</w:t>
      </w:r>
    </w:p>
    <w:p w:rsidR="00682C8C" w:rsidRDefault="00541741" w:rsidP="00964166">
      <w:pPr>
        <w:spacing w:after="0" w:line="360" w:lineRule="auto"/>
        <w:ind w:firstLine="993"/>
        <w:jc w:val="both"/>
        <w:rPr>
          <w:sz w:val="24"/>
          <w:szCs w:val="24"/>
        </w:rPr>
      </w:pPr>
      <w:r>
        <w:rPr>
          <w:rFonts w:ascii="Times New Roman" w:hAnsi="Times New Roman"/>
          <w:sz w:val="24"/>
          <w:szCs w:val="24"/>
        </w:rPr>
        <w:t>- определение наиболее удобного времени проведения дидактической игры (в процессе организованного обучения на занятиях или в свободное от занятий и других режимных процессов время);</w:t>
      </w:r>
    </w:p>
    <w:p w:rsidR="00682C8C" w:rsidRDefault="00541741" w:rsidP="00964166">
      <w:pPr>
        <w:spacing w:after="0" w:line="360" w:lineRule="auto"/>
        <w:ind w:firstLine="993"/>
        <w:jc w:val="both"/>
        <w:rPr>
          <w:sz w:val="24"/>
          <w:szCs w:val="24"/>
        </w:rPr>
      </w:pPr>
      <w:r>
        <w:rPr>
          <w:rFonts w:ascii="Times New Roman" w:hAnsi="Times New Roman"/>
          <w:sz w:val="24"/>
          <w:szCs w:val="24"/>
        </w:rPr>
        <w:t>- выбор места для игры, где дети могут спокойно играть, не мешая другим;</w:t>
      </w:r>
    </w:p>
    <w:p w:rsidR="00964166" w:rsidRDefault="00541741" w:rsidP="00964166">
      <w:pPr>
        <w:spacing w:after="0" w:line="360" w:lineRule="auto"/>
        <w:ind w:firstLine="993"/>
        <w:jc w:val="both"/>
        <w:rPr>
          <w:rFonts w:ascii="Times New Roman" w:hAnsi="Times New Roman"/>
          <w:sz w:val="24"/>
          <w:szCs w:val="24"/>
        </w:rPr>
      </w:pPr>
      <w:r>
        <w:rPr>
          <w:rFonts w:ascii="Times New Roman" w:hAnsi="Times New Roman"/>
          <w:sz w:val="24"/>
          <w:szCs w:val="24"/>
        </w:rPr>
        <w:t xml:space="preserve">- определения количества играющих (вся группа, небольшие подгруппы, индивидуально); </w:t>
      </w:r>
    </w:p>
    <w:p w:rsidR="00682C8C" w:rsidRDefault="00541741" w:rsidP="00964166">
      <w:pPr>
        <w:spacing w:after="0" w:line="360" w:lineRule="auto"/>
        <w:ind w:firstLine="993"/>
        <w:jc w:val="both"/>
        <w:rPr>
          <w:sz w:val="24"/>
          <w:szCs w:val="24"/>
        </w:rPr>
      </w:pPr>
      <w:r>
        <w:rPr>
          <w:rFonts w:ascii="Times New Roman" w:hAnsi="Times New Roman"/>
          <w:sz w:val="24"/>
          <w:szCs w:val="24"/>
        </w:rPr>
        <w:t>- подготовка необходимого дидактического материала для выбранной игры (игрушки, разные предметы, картинки…);</w:t>
      </w:r>
    </w:p>
    <w:p w:rsidR="00682C8C" w:rsidRDefault="00541741" w:rsidP="00964166">
      <w:pPr>
        <w:spacing w:after="0" w:line="360" w:lineRule="auto"/>
        <w:ind w:firstLine="993"/>
        <w:jc w:val="both"/>
        <w:rPr>
          <w:sz w:val="24"/>
          <w:szCs w:val="24"/>
        </w:rPr>
      </w:pPr>
      <w:r>
        <w:rPr>
          <w:rFonts w:ascii="Times New Roman" w:hAnsi="Times New Roman"/>
          <w:sz w:val="24"/>
          <w:szCs w:val="24"/>
        </w:rPr>
        <w:t>- подготовка к игре самого воспитателя: он должен изучить и осмыслить весь ход игры, свое место в игре, методы руководства игрой;</w:t>
      </w:r>
    </w:p>
    <w:p w:rsidR="00682C8C" w:rsidRDefault="00541741" w:rsidP="00964166">
      <w:pPr>
        <w:spacing w:after="0" w:line="360" w:lineRule="auto"/>
        <w:ind w:firstLine="993"/>
        <w:jc w:val="both"/>
        <w:rPr>
          <w:sz w:val="24"/>
          <w:szCs w:val="24"/>
        </w:rPr>
      </w:pPr>
      <w:r>
        <w:rPr>
          <w:rFonts w:ascii="Times New Roman" w:hAnsi="Times New Roman"/>
          <w:sz w:val="24"/>
          <w:szCs w:val="24"/>
        </w:rPr>
        <w:t>- подготовка к игре детей: обогащение их знаниями, представлениями о предметах и явлениях окружающей жизни, необходимыми для решения игровой задачи.</w:t>
      </w:r>
    </w:p>
    <w:p w:rsidR="00682C8C" w:rsidRDefault="00541741" w:rsidP="00964166">
      <w:pPr>
        <w:spacing w:after="0" w:line="360" w:lineRule="auto"/>
        <w:ind w:firstLine="993"/>
        <w:jc w:val="both"/>
        <w:rPr>
          <w:rFonts w:ascii="Times New Roman" w:hAnsi="Times New Roman"/>
          <w:b/>
          <w:bCs/>
          <w:sz w:val="24"/>
          <w:szCs w:val="24"/>
        </w:rPr>
      </w:pPr>
      <w:r>
        <w:rPr>
          <w:rFonts w:ascii="Times New Roman" w:hAnsi="Times New Roman"/>
          <w:b/>
          <w:bCs/>
          <w:sz w:val="24"/>
          <w:szCs w:val="24"/>
        </w:rPr>
        <w:t>«Проведение»</w:t>
      </w:r>
    </w:p>
    <w:p w:rsidR="00682C8C" w:rsidRDefault="00541741" w:rsidP="00964166">
      <w:pPr>
        <w:spacing w:after="0" w:line="360" w:lineRule="auto"/>
        <w:ind w:firstLine="993"/>
        <w:jc w:val="both"/>
        <w:rPr>
          <w:sz w:val="24"/>
          <w:szCs w:val="24"/>
        </w:rPr>
      </w:pPr>
      <w:r>
        <w:rPr>
          <w:rFonts w:ascii="Times New Roman" w:hAnsi="Times New Roman"/>
          <w:sz w:val="24"/>
          <w:szCs w:val="24"/>
        </w:rPr>
        <w:t>- ознакомление детей с содержанием игры, с дидактическим материалом, который будет использован в игре (показ предметов, картинок, краткая беседа, в ходе которой уточняются знания и представления детей о них);</w:t>
      </w:r>
    </w:p>
    <w:p w:rsidR="00682C8C" w:rsidRDefault="00541741" w:rsidP="00964166">
      <w:pPr>
        <w:spacing w:after="0" w:line="360" w:lineRule="auto"/>
        <w:ind w:firstLine="993"/>
        <w:jc w:val="both"/>
        <w:rPr>
          <w:sz w:val="24"/>
          <w:szCs w:val="24"/>
        </w:rPr>
      </w:pPr>
      <w:r>
        <w:rPr>
          <w:rFonts w:ascii="Times New Roman" w:hAnsi="Times New Roman"/>
          <w:sz w:val="24"/>
          <w:szCs w:val="24"/>
        </w:rPr>
        <w:t>- объяснение хода и правил игры. При этом воспитатель обращает внимание на поведение детей в соответствии с правилами игры, на четкое выполнение правил;</w:t>
      </w:r>
    </w:p>
    <w:p w:rsidR="00682C8C" w:rsidRDefault="00541741" w:rsidP="00964166">
      <w:pPr>
        <w:spacing w:after="0" w:line="360" w:lineRule="auto"/>
        <w:ind w:firstLine="993"/>
        <w:jc w:val="both"/>
        <w:rPr>
          <w:sz w:val="24"/>
          <w:szCs w:val="24"/>
        </w:rPr>
      </w:pPr>
      <w:r>
        <w:rPr>
          <w:rFonts w:ascii="Times New Roman" w:hAnsi="Times New Roman"/>
          <w:sz w:val="24"/>
          <w:szCs w:val="24"/>
        </w:rPr>
        <w:t>- показ игровых действий, в процессе которого воспитатель учит детей правильно выполнять действие, доказывая, что в противном случае игра не приведет к нужному результату (например, если кто-то из ребят подсматривает, когда надо закрыть глаза);</w:t>
      </w:r>
    </w:p>
    <w:p w:rsidR="00682C8C" w:rsidRDefault="00541741" w:rsidP="00964166">
      <w:pPr>
        <w:spacing w:after="0" w:line="360" w:lineRule="auto"/>
        <w:ind w:firstLine="993"/>
        <w:jc w:val="both"/>
        <w:rPr>
          <w:sz w:val="24"/>
          <w:szCs w:val="24"/>
        </w:rPr>
      </w:pPr>
      <w:r>
        <w:rPr>
          <w:rFonts w:ascii="Times New Roman" w:hAnsi="Times New Roman"/>
          <w:sz w:val="24"/>
          <w:szCs w:val="24"/>
        </w:rPr>
        <w:t>- определение роли воспитателя в игре, его участие в качестве играющего, болельщика или арбитра. Мера непосредственного участия воспитателя в игре определяется возрастом детей, уровнем их подготовки, сложностью дидактической задачи, игровых правил. Участвуя в игре, педагог направляет действия играющих (советом, вопросом, напоминанием);</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 подведение итогов игры – это ответственный момент в руководстве ею, т.к. по результатам, которых дети добиваются в игре, можно судить об ее эффективности, о том, будет ли она с интересом использоваться в самостоятельной игровой деятельности ребят. При </w:t>
      </w:r>
      <w:r>
        <w:rPr>
          <w:rFonts w:ascii="Times New Roman" w:hAnsi="Times New Roman"/>
          <w:sz w:val="24"/>
          <w:szCs w:val="24"/>
        </w:rPr>
        <w:lastRenderedPageBreak/>
        <w:t>подведении итогов воспитатель подчеркивает, что путь к победе возможен только через преодоление трудностей, внимание и дисциплинированность. В конце игры педагог спрашивает у детей, понравилась ли им игра, и обещает, что в следующий раз можно играть в новую игру, она будет тоже интересной. Дети обычно ждут этого дня.</w:t>
      </w:r>
    </w:p>
    <w:p w:rsidR="00682C8C" w:rsidRDefault="00541741" w:rsidP="00964166">
      <w:pPr>
        <w:spacing w:after="0" w:line="360" w:lineRule="auto"/>
        <w:ind w:firstLine="993"/>
        <w:jc w:val="both"/>
        <w:rPr>
          <w:sz w:val="24"/>
          <w:szCs w:val="24"/>
        </w:rPr>
      </w:pPr>
      <w:r>
        <w:rPr>
          <w:rFonts w:ascii="Times New Roman" w:hAnsi="Times New Roman"/>
          <w:b/>
          <w:bCs/>
          <w:sz w:val="24"/>
          <w:szCs w:val="24"/>
        </w:rPr>
        <w:t>«Анализ»</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 Анализ проведенной игры направлен на выявление приемов ее подготовки и проведения: какие приемы оказались эффективными в достижении поставленной цели, что не сработало и почему. Это поможет совершенствовать как подготовку, так и сам процесс проведения игры, избежать впоследствии ошибок. Кроме того, анализ позволит выявить индивидуальные особенности в поведении и характере детей и, значит, правильно организовать индивидуальную работу с ними. Самокритичный анализ использования игры в соответствии с поставленной целью помогает варьировать игру, обогащать ее новым материалом в последующей работе. </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Развитие интереса и любознательности к природе у детей дошкольного </w:t>
      </w:r>
      <w:r w:rsidR="00964166">
        <w:rPr>
          <w:rFonts w:ascii="Times New Roman" w:hAnsi="Times New Roman"/>
          <w:sz w:val="24"/>
          <w:szCs w:val="24"/>
        </w:rPr>
        <w:t xml:space="preserve">возраста на примере дидактических игр экологической </w:t>
      </w:r>
      <w:r>
        <w:rPr>
          <w:rFonts w:ascii="Times New Roman" w:hAnsi="Times New Roman"/>
          <w:sz w:val="24"/>
          <w:szCs w:val="24"/>
        </w:rPr>
        <w:t xml:space="preserve">направленности являются неотъемлемой частью в решении основных задач развития детей, интерес и любознательность побуждают их к поиску новых знаний, новых умений, новых способов работы в их исканиях. </w:t>
      </w:r>
    </w:p>
    <w:p w:rsidR="00964166" w:rsidRPr="00964166" w:rsidRDefault="00541741" w:rsidP="00964166">
      <w:pPr>
        <w:spacing w:after="0" w:line="360" w:lineRule="auto"/>
        <w:ind w:firstLine="993"/>
        <w:jc w:val="both"/>
        <w:rPr>
          <w:rFonts w:ascii="Times New Roman" w:hAnsi="Times New Roman"/>
          <w:sz w:val="24"/>
          <w:szCs w:val="24"/>
        </w:rPr>
      </w:pPr>
      <w:r>
        <w:rPr>
          <w:rFonts w:ascii="Times New Roman" w:hAnsi="Times New Roman"/>
          <w:sz w:val="24"/>
          <w:szCs w:val="24"/>
        </w:rPr>
        <w:t xml:space="preserve">Таким образом, руководство дидактическими играми по экологии требует от педагога большой, продуманной работы в процессе их подготовки и проведения. Это обогащение детей соответствующими знаниями, подбор дидактического материала, а иногда и изготовление его вместе с воспитанниками, организация обстановки для игры, а также четкое определение своей роли в игре. </w:t>
      </w:r>
    </w:p>
    <w:p w:rsidR="00682C8C" w:rsidRDefault="00541741" w:rsidP="00964166">
      <w:pPr>
        <w:spacing w:after="0" w:line="360" w:lineRule="auto"/>
        <w:ind w:firstLine="993"/>
        <w:jc w:val="both"/>
        <w:rPr>
          <w:sz w:val="24"/>
          <w:szCs w:val="24"/>
        </w:rPr>
      </w:pPr>
      <w:r>
        <w:rPr>
          <w:rFonts w:ascii="Times New Roman" w:hAnsi="Times New Roman"/>
          <w:sz w:val="24"/>
          <w:szCs w:val="24"/>
        </w:rPr>
        <w:t xml:space="preserve">Хочется закончить </w:t>
      </w:r>
      <w:r w:rsidR="00964166">
        <w:rPr>
          <w:rFonts w:ascii="Times New Roman" w:hAnsi="Times New Roman"/>
          <w:sz w:val="24"/>
          <w:szCs w:val="24"/>
        </w:rPr>
        <w:t>семинар-практикум</w:t>
      </w:r>
      <w:r>
        <w:rPr>
          <w:rFonts w:ascii="Times New Roman" w:hAnsi="Times New Roman"/>
          <w:sz w:val="24"/>
          <w:szCs w:val="24"/>
        </w:rPr>
        <w:t xml:space="preserve"> словами: «</w:t>
      </w:r>
      <w:r>
        <w:rPr>
          <w:rFonts w:ascii="Times New Roman" w:eastAsia="Times New Roman" w:hAnsi="Times New Roman" w:cs="Times New Roman"/>
          <w:color w:val="000000" w:themeColor="text1"/>
          <w:sz w:val="24"/>
          <w:szCs w:val="24"/>
          <w:lang w:eastAsia="ru-RU"/>
        </w:rPr>
        <w:t>Всё хорошее в людях - из детства! Как истоки добра пробудить? Прикоснуться к природе всем сердцем: Удивиться, узнать, полюбить! Мы хотим, чтоб земля расцветала, И росли, как цветы, малыши, Чтоб для них экология стала, Не наукой, а частью души!»</w:t>
      </w:r>
    </w:p>
    <w:p w:rsidR="00682C8C" w:rsidRDefault="00682C8C" w:rsidP="00964166">
      <w:pPr>
        <w:spacing w:after="0" w:line="360" w:lineRule="auto"/>
        <w:ind w:firstLine="993"/>
        <w:jc w:val="both"/>
        <w:rPr>
          <w:sz w:val="24"/>
          <w:szCs w:val="24"/>
        </w:rPr>
      </w:pPr>
    </w:p>
    <w:p w:rsidR="00682C8C" w:rsidRDefault="00682C8C">
      <w:pPr>
        <w:spacing w:after="0" w:line="360" w:lineRule="auto"/>
        <w:ind w:firstLine="709"/>
        <w:jc w:val="both"/>
        <w:rPr>
          <w:sz w:val="24"/>
          <w:szCs w:val="24"/>
        </w:rPr>
      </w:pPr>
    </w:p>
    <w:p w:rsidR="00682C8C" w:rsidRDefault="00682C8C">
      <w:pPr>
        <w:spacing w:after="0" w:line="360" w:lineRule="auto"/>
        <w:ind w:firstLine="709"/>
        <w:jc w:val="both"/>
        <w:rPr>
          <w:sz w:val="24"/>
          <w:szCs w:val="24"/>
        </w:rPr>
      </w:pPr>
    </w:p>
    <w:p w:rsidR="00682C8C" w:rsidRDefault="00682C8C">
      <w:pPr>
        <w:spacing w:after="0" w:line="360" w:lineRule="auto"/>
        <w:ind w:firstLine="709"/>
        <w:jc w:val="both"/>
        <w:rPr>
          <w:sz w:val="24"/>
          <w:szCs w:val="24"/>
        </w:rPr>
      </w:pPr>
    </w:p>
    <w:p w:rsidR="00682C8C" w:rsidRDefault="00682C8C">
      <w:pPr>
        <w:spacing w:after="0" w:line="360" w:lineRule="auto"/>
        <w:ind w:firstLine="709"/>
        <w:jc w:val="both"/>
        <w:rPr>
          <w:sz w:val="24"/>
          <w:szCs w:val="24"/>
        </w:rPr>
      </w:pPr>
    </w:p>
    <w:p w:rsidR="00682C8C" w:rsidRDefault="00682C8C">
      <w:pPr>
        <w:spacing w:after="0" w:line="360" w:lineRule="auto"/>
        <w:ind w:firstLine="709"/>
        <w:jc w:val="both"/>
        <w:rPr>
          <w:sz w:val="24"/>
          <w:szCs w:val="24"/>
        </w:rPr>
      </w:pPr>
    </w:p>
    <w:p w:rsidR="00682C8C" w:rsidRDefault="00682C8C">
      <w:pPr>
        <w:spacing w:after="0" w:line="360" w:lineRule="auto"/>
        <w:ind w:firstLine="709"/>
        <w:jc w:val="both"/>
        <w:rPr>
          <w:sz w:val="24"/>
          <w:szCs w:val="24"/>
        </w:rPr>
      </w:pPr>
    </w:p>
    <w:p w:rsidR="00682C8C" w:rsidRDefault="00682C8C">
      <w:pPr>
        <w:spacing w:after="0" w:line="360" w:lineRule="auto"/>
        <w:jc w:val="both"/>
        <w:rPr>
          <w:sz w:val="24"/>
          <w:szCs w:val="24"/>
        </w:rPr>
      </w:pPr>
    </w:p>
    <w:sectPr w:rsidR="00682C8C" w:rsidSect="00964166">
      <w:footerReference w:type="default" r:id="rId6"/>
      <w:pgSz w:w="11906" w:h="16838"/>
      <w:pgMar w:top="284" w:right="851" w:bottom="284" w:left="1134" w:header="0" w:footer="709"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E88" w:rsidRDefault="00C91E88">
      <w:pPr>
        <w:spacing w:after="0" w:line="240" w:lineRule="auto"/>
      </w:pPr>
      <w:r>
        <w:separator/>
      </w:r>
    </w:p>
  </w:endnote>
  <w:endnote w:type="continuationSeparator" w:id="0">
    <w:p w:rsidR="00C91E88" w:rsidRDefault="00C9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14417"/>
      <w:docPartObj>
        <w:docPartGallery w:val="Page Numbers (Bottom of Page)"/>
        <w:docPartUnique/>
      </w:docPartObj>
    </w:sdtPr>
    <w:sdtEndPr/>
    <w:sdtContent>
      <w:p w:rsidR="00682C8C" w:rsidRDefault="00541741">
        <w:pPr>
          <w:pStyle w:val="af0"/>
          <w:jc w:val="right"/>
        </w:pPr>
        <w:r>
          <w:fldChar w:fldCharType="begin"/>
        </w:r>
        <w:r>
          <w:instrText>PAGE</w:instrText>
        </w:r>
        <w:r>
          <w:fldChar w:fldCharType="separate"/>
        </w:r>
        <w:r w:rsidR="00F067EC">
          <w:rPr>
            <w:noProof/>
          </w:rPr>
          <w:t>3</w:t>
        </w:r>
        <w:r>
          <w:fldChar w:fldCharType="end"/>
        </w:r>
      </w:p>
    </w:sdtContent>
  </w:sdt>
  <w:p w:rsidR="00682C8C" w:rsidRDefault="00682C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E88" w:rsidRDefault="00C91E88">
      <w:pPr>
        <w:spacing w:after="0" w:line="240" w:lineRule="auto"/>
      </w:pPr>
      <w:r>
        <w:separator/>
      </w:r>
    </w:p>
  </w:footnote>
  <w:footnote w:type="continuationSeparator" w:id="0">
    <w:p w:rsidR="00C91E88" w:rsidRDefault="00C91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2C8C"/>
    <w:rsid w:val="00541741"/>
    <w:rsid w:val="00682C8C"/>
    <w:rsid w:val="00964166"/>
    <w:rsid w:val="00C91E88"/>
    <w:rsid w:val="00D40CFB"/>
    <w:rsid w:val="00F067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2F974-865A-408F-8D8D-4E6C00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907"/>
    <w:pPr>
      <w:spacing w:after="200" w:line="276" w:lineRule="auto"/>
    </w:pPr>
    <w:rPr>
      <w:sz w:val="22"/>
    </w:rPr>
  </w:style>
  <w:style w:type="paragraph" w:styleId="3">
    <w:name w:val="heading 3"/>
    <w:basedOn w:val="a"/>
    <w:link w:val="30"/>
    <w:uiPriority w:val="9"/>
    <w:qFormat/>
    <w:rsid w:val="00FC37ED"/>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FC37ED"/>
    <w:rPr>
      <w:rFonts w:ascii="Times New Roman" w:eastAsia="Times New Roman" w:hAnsi="Times New Roman" w:cs="Times New Roman"/>
      <w:b/>
      <w:bCs/>
      <w:sz w:val="27"/>
      <w:szCs w:val="27"/>
      <w:lang w:eastAsia="ru-RU"/>
    </w:rPr>
  </w:style>
  <w:style w:type="character" w:styleId="a3">
    <w:name w:val="Strong"/>
    <w:basedOn w:val="a0"/>
    <w:uiPriority w:val="22"/>
    <w:qFormat/>
    <w:rsid w:val="00FC37ED"/>
    <w:rPr>
      <w:b/>
      <w:bCs/>
    </w:rPr>
  </w:style>
  <w:style w:type="character" w:styleId="a4">
    <w:name w:val="Emphasis"/>
    <w:basedOn w:val="a0"/>
    <w:uiPriority w:val="20"/>
    <w:qFormat/>
    <w:rsid w:val="00FC37ED"/>
    <w:rPr>
      <w:i/>
      <w:iCs/>
    </w:rPr>
  </w:style>
  <w:style w:type="character" w:customStyle="1" w:styleId="a5">
    <w:name w:val="Текст выноски Знак"/>
    <w:basedOn w:val="a0"/>
    <w:uiPriority w:val="99"/>
    <w:semiHidden/>
    <w:qFormat/>
    <w:rsid w:val="003B7885"/>
    <w:rPr>
      <w:rFonts w:ascii="Tahoma" w:hAnsi="Tahoma" w:cs="Tahoma"/>
      <w:sz w:val="16"/>
      <w:szCs w:val="16"/>
    </w:rPr>
  </w:style>
  <w:style w:type="character" w:customStyle="1" w:styleId="a6">
    <w:name w:val="Верхний колонтитул Знак"/>
    <w:basedOn w:val="a0"/>
    <w:uiPriority w:val="99"/>
    <w:semiHidden/>
    <w:qFormat/>
    <w:rsid w:val="006700E2"/>
  </w:style>
  <w:style w:type="character" w:customStyle="1" w:styleId="a7">
    <w:name w:val="Нижний колонтитул Знак"/>
    <w:basedOn w:val="a0"/>
    <w:uiPriority w:val="99"/>
    <w:qFormat/>
    <w:rsid w:val="006700E2"/>
  </w:style>
  <w:style w:type="character" w:customStyle="1" w:styleId="-">
    <w:name w:val="Интернет-ссылка"/>
    <w:basedOn w:val="a0"/>
    <w:uiPriority w:val="99"/>
    <w:semiHidden/>
    <w:unhideWhenUsed/>
    <w:rsid w:val="0077075A"/>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40"/>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Normal (Web)"/>
    <w:basedOn w:val="a"/>
    <w:uiPriority w:val="99"/>
    <w:unhideWhenUsed/>
    <w:qFormat/>
    <w:rsid w:val="00FC37ED"/>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Balloon Text"/>
    <w:basedOn w:val="a"/>
    <w:uiPriority w:val="99"/>
    <w:semiHidden/>
    <w:unhideWhenUsed/>
    <w:qFormat/>
    <w:rsid w:val="003B7885"/>
    <w:pPr>
      <w:spacing w:after="0" w:line="240" w:lineRule="auto"/>
    </w:pPr>
    <w:rPr>
      <w:rFonts w:ascii="Tahoma" w:hAnsi="Tahoma" w:cs="Tahoma"/>
      <w:sz w:val="16"/>
      <w:szCs w:val="16"/>
    </w:rPr>
  </w:style>
  <w:style w:type="paragraph" w:styleId="af">
    <w:name w:val="header"/>
    <w:basedOn w:val="a"/>
    <w:uiPriority w:val="99"/>
    <w:semiHidden/>
    <w:unhideWhenUsed/>
    <w:rsid w:val="006700E2"/>
    <w:pPr>
      <w:tabs>
        <w:tab w:val="center" w:pos="4677"/>
        <w:tab w:val="right" w:pos="9355"/>
      </w:tabs>
      <w:spacing w:after="0" w:line="240" w:lineRule="auto"/>
    </w:pPr>
  </w:style>
  <w:style w:type="paragraph" w:styleId="af0">
    <w:name w:val="footer"/>
    <w:basedOn w:val="a"/>
    <w:uiPriority w:val="99"/>
    <w:unhideWhenUsed/>
    <w:rsid w:val="006700E2"/>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1491</Words>
  <Characters>8502</Characters>
  <Application>Microsoft Office Word</Application>
  <DocSecurity>0</DocSecurity>
  <Lines>70</Lines>
  <Paragraphs>19</Paragraphs>
  <ScaleCrop>false</ScaleCrop>
  <Company>Krokoz™</Company>
  <LinksUpToDate>false</LinksUpToDate>
  <CharactersWithSpaces>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dc:description/>
  <cp:lastModifiedBy>Ольга</cp:lastModifiedBy>
  <cp:revision>15</cp:revision>
  <dcterms:created xsi:type="dcterms:W3CDTF">2020-11-23T14:42:00Z</dcterms:created>
  <dcterms:modified xsi:type="dcterms:W3CDTF">2023-02-08T06:36:00Z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