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D8" w:rsidRP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Структурное подразделение</w:t>
      </w:r>
      <w:r w:rsidR="00205BB4">
        <w:rPr>
          <w:rFonts w:ascii="Times New Roman" w:eastAsia="Times New Roman" w:hAnsi="Times New Roman" w:cs="Times New Roman"/>
          <w:color w:val="000000" w:themeColor="text1"/>
          <w:sz w:val="28"/>
          <w:szCs w:val="28"/>
          <w:lang w:eastAsia="ru-RU"/>
        </w:rPr>
        <w:t xml:space="preserve"> «Детский сад комбинированного вида «Аленький цветочек» МБДОУ «Детский сад «Планета детства» комбинированного вида»</w:t>
      </w: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205BB4" w:rsidRPr="00410838" w:rsidRDefault="00205BB4"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r w:rsidRPr="00410838">
        <w:rPr>
          <w:rFonts w:ascii="Times New Roman" w:eastAsia="Times New Roman" w:hAnsi="Times New Roman" w:cs="Times New Roman"/>
          <w:color w:val="000000" w:themeColor="text1"/>
          <w:sz w:val="40"/>
          <w:szCs w:val="40"/>
          <w:lang w:eastAsia="ru-RU"/>
        </w:rPr>
        <w:t>Консультация для родителей  «Не оставляйте детей без присмотра»</w:t>
      </w: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410838" w:rsidRDefault="0041083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410838" w:rsidRDefault="0041083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410838" w:rsidRDefault="0041083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410838" w:rsidRPr="00410838" w:rsidRDefault="00410838" w:rsidP="006557D8">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Воспитатель: </w:t>
      </w:r>
      <w:proofErr w:type="spellStart"/>
      <w:r>
        <w:rPr>
          <w:rFonts w:ascii="Times New Roman" w:eastAsia="Times New Roman" w:hAnsi="Times New Roman" w:cs="Times New Roman"/>
          <w:color w:val="000000" w:themeColor="text1"/>
          <w:sz w:val="28"/>
          <w:szCs w:val="28"/>
          <w:lang w:eastAsia="ru-RU"/>
        </w:rPr>
        <w:t>Чаиркина</w:t>
      </w:r>
      <w:proofErr w:type="spellEnd"/>
      <w:r>
        <w:rPr>
          <w:rFonts w:ascii="Times New Roman" w:eastAsia="Times New Roman" w:hAnsi="Times New Roman" w:cs="Times New Roman"/>
          <w:color w:val="000000" w:themeColor="text1"/>
          <w:sz w:val="28"/>
          <w:szCs w:val="28"/>
          <w:lang w:eastAsia="ru-RU"/>
        </w:rPr>
        <w:t xml:space="preserve"> Е.В.</w:t>
      </w: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6557D8" w:rsidRDefault="006557D8" w:rsidP="006557D8">
      <w:pPr>
        <w:shd w:val="clear" w:color="auto" w:fill="FFFFFF"/>
        <w:spacing w:after="0" w:line="240" w:lineRule="auto"/>
        <w:ind w:firstLine="710"/>
        <w:jc w:val="center"/>
        <w:rPr>
          <w:rFonts w:ascii="Times New Roman" w:eastAsia="Times New Roman" w:hAnsi="Times New Roman" w:cs="Times New Roman"/>
          <w:color w:val="000000" w:themeColor="text1"/>
          <w:sz w:val="40"/>
          <w:szCs w:val="40"/>
          <w:lang w:eastAsia="ru-RU"/>
        </w:rPr>
      </w:pPr>
    </w:p>
    <w:p w:rsidR="00DF5B7C" w:rsidRDefault="00DF5B7C" w:rsidP="006557D8">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p>
    <w:p w:rsidR="006557D8" w:rsidRPr="00410838" w:rsidRDefault="00410838" w:rsidP="006557D8">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рп</w:t>
      </w:r>
      <w:proofErr w:type="spellEnd"/>
      <w:r>
        <w:rPr>
          <w:rFonts w:ascii="Times New Roman" w:eastAsia="Times New Roman" w:hAnsi="Times New Roman" w:cs="Times New Roman"/>
          <w:color w:val="000000" w:themeColor="text1"/>
          <w:sz w:val="28"/>
          <w:szCs w:val="28"/>
          <w:lang w:eastAsia="ru-RU"/>
        </w:rPr>
        <w:t>. Комсомольский, 2022г.</w:t>
      </w:r>
    </w:p>
    <w:p w:rsidR="006557D8" w:rsidRDefault="006557D8" w:rsidP="001408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lastRenderedPageBreak/>
        <w:t>Безопасность ребенка является основным звеном в комплексе воспитания ребенка.  </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6557D8" w:rsidRPr="006557D8" w:rsidRDefault="006557D8" w:rsidP="006557D8">
      <w:pPr>
        <w:shd w:val="clear" w:color="auto" w:fill="FFFFFF"/>
        <w:spacing w:after="0" w:line="240" w:lineRule="auto"/>
        <w:jc w:val="both"/>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32"/>
          <w:szCs w:val="32"/>
          <w:lang w:eastAsia="ru-RU"/>
        </w:rPr>
        <w:t>Но если Вам всё-таки пришлось уйти, то сначала:</w:t>
      </w:r>
    </w:p>
    <w:p w:rsidR="006557D8" w:rsidRPr="006557D8" w:rsidRDefault="006557D8" w:rsidP="006557D8">
      <w:pPr>
        <w:numPr>
          <w:ilvl w:val="0"/>
          <w:numId w:val="1"/>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6557D8" w:rsidRPr="006557D8" w:rsidRDefault="006557D8" w:rsidP="006557D8">
      <w:pPr>
        <w:numPr>
          <w:ilvl w:val="0"/>
          <w:numId w:val="1"/>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Займите ребенка безопасными играми.</w:t>
      </w:r>
    </w:p>
    <w:p w:rsidR="006557D8" w:rsidRPr="006557D8" w:rsidRDefault="006557D8" w:rsidP="006557D8">
      <w:pPr>
        <w:numPr>
          <w:ilvl w:val="0"/>
          <w:numId w:val="1"/>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Закройте окна и выходы на балконы, при необходимости открытыми можно оставить форточки или фрамуги.</w:t>
      </w:r>
    </w:p>
    <w:p w:rsidR="006557D8" w:rsidRPr="006557D8" w:rsidRDefault="006557D8" w:rsidP="006557D8">
      <w:pPr>
        <w:numPr>
          <w:ilvl w:val="0"/>
          <w:numId w:val="1"/>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Перекройте газовый вентиль на трубе.</w:t>
      </w:r>
    </w:p>
    <w:p w:rsidR="006557D8" w:rsidRPr="006557D8" w:rsidRDefault="006557D8" w:rsidP="006557D8">
      <w:pPr>
        <w:numPr>
          <w:ilvl w:val="0"/>
          <w:numId w:val="1"/>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Уберите с плиты кастрюли и чайники с горячей водой – опрокинув их, ребенок может получить ожоги.</w:t>
      </w:r>
    </w:p>
    <w:p w:rsidR="006557D8" w:rsidRPr="006557D8" w:rsidRDefault="006557D8" w:rsidP="006557D8">
      <w:pPr>
        <w:numPr>
          <w:ilvl w:val="0"/>
          <w:numId w:val="1"/>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6557D8" w:rsidRPr="006557D8" w:rsidRDefault="006557D8" w:rsidP="006557D8">
      <w:pPr>
        <w:numPr>
          <w:ilvl w:val="0"/>
          <w:numId w:val="2"/>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Выключите и по возможности изолируйте от ребенка все электроприборы, представляющие для него опасность.</w:t>
      </w:r>
    </w:p>
    <w:p w:rsidR="006557D8" w:rsidRPr="006557D8" w:rsidRDefault="006557D8" w:rsidP="006557D8">
      <w:pPr>
        <w:numPr>
          <w:ilvl w:val="0"/>
          <w:numId w:val="2"/>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Изолируйте от ребенка спички, острые, легко бьющиеся и легковоспламеняющиеся предметы.</w:t>
      </w:r>
    </w:p>
    <w:p w:rsidR="006557D8" w:rsidRPr="006557D8" w:rsidRDefault="006557D8" w:rsidP="006557D8">
      <w:pPr>
        <w:numPr>
          <w:ilvl w:val="0"/>
          <w:numId w:val="2"/>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28"/>
          <w:szCs w:val="28"/>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28"/>
          <w:szCs w:val="28"/>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6557D8" w:rsidRPr="006557D8" w:rsidRDefault="006557D8" w:rsidP="006557D8">
      <w:pPr>
        <w:shd w:val="clear" w:color="auto" w:fill="FFFFFF"/>
        <w:spacing w:after="0" w:line="240" w:lineRule="auto"/>
        <w:jc w:val="both"/>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32"/>
          <w:szCs w:val="32"/>
          <w:u w:val="single"/>
          <w:lang w:eastAsia="ru-RU"/>
        </w:rPr>
        <w:t>Источники</w:t>
      </w:r>
      <w:r w:rsidRPr="006557D8">
        <w:rPr>
          <w:rFonts w:ascii="Times New Roman" w:eastAsia="Times New Roman" w:hAnsi="Times New Roman" w:cs="Times New Roman"/>
          <w:color w:val="000000" w:themeColor="text1"/>
          <w:sz w:val="32"/>
          <w:szCs w:val="32"/>
          <w:lang w:eastAsia="ru-RU"/>
        </w:rPr>
        <w:t> </w:t>
      </w:r>
      <w:r w:rsidRPr="006557D8">
        <w:rPr>
          <w:rFonts w:ascii="Times New Roman" w:eastAsia="Times New Roman" w:hAnsi="Times New Roman" w:cs="Times New Roman"/>
          <w:b/>
          <w:bCs/>
          <w:color w:val="000000" w:themeColor="text1"/>
          <w:sz w:val="32"/>
          <w:szCs w:val="32"/>
          <w:u w:val="single"/>
          <w:lang w:eastAsia="ru-RU"/>
        </w:rPr>
        <w:t>потенциальной опасности для детей</w:t>
      </w:r>
    </w:p>
    <w:p w:rsidR="006557D8" w:rsidRPr="006557D8" w:rsidRDefault="00DF5B7C" w:rsidP="00DF5B7C">
      <w:pPr>
        <w:shd w:val="clear" w:color="auto" w:fill="FFFFFF"/>
        <w:spacing w:before="100" w:beforeAutospacing="1" w:after="100" w:afterAutospacing="1" w:line="240" w:lineRule="auto"/>
        <w:jc w:val="both"/>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1.</w:t>
      </w:r>
      <w:r w:rsidR="006557D8" w:rsidRPr="006557D8">
        <w:rPr>
          <w:rFonts w:ascii="Times New Roman" w:eastAsia="Times New Roman" w:hAnsi="Times New Roman" w:cs="Times New Roman"/>
          <w:b/>
          <w:bCs/>
          <w:color w:val="000000" w:themeColor="text1"/>
          <w:sz w:val="28"/>
          <w:szCs w:val="28"/>
          <w:lang w:eastAsia="ru-RU"/>
        </w:rPr>
        <w:t>Предметы, которыми ребенку категорически запрещается пользоваться:</w:t>
      </w:r>
    </w:p>
    <w:p w:rsidR="006557D8" w:rsidRPr="006557D8" w:rsidRDefault="006557D8" w:rsidP="006557D8">
      <w:pPr>
        <w:numPr>
          <w:ilvl w:val="0"/>
          <w:numId w:val="4"/>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lastRenderedPageBreak/>
        <w:t>спички;</w:t>
      </w:r>
    </w:p>
    <w:p w:rsidR="006557D8" w:rsidRPr="006557D8" w:rsidRDefault="006557D8" w:rsidP="006557D8">
      <w:pPr>
        <w:numPr>
          <w:ilvl w:val="0"/>
          <w:numId w:val="4"/>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газовые плиты;</w:t>
      </w:r>
    </w:p>
    <w:p w:rsidR="006557D8" w:rsidRPr="006557D8" w:rsidRDefault="006557D8" w:rsidP="006557D8">
      <w:pPr>
        <w:numPr>
          <w:ilvl w:val="0"/>
          <w:numId w:val="4"/>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электрические розетки;</w:t>
      </w:r>
    </w:p>
    <w:p w:rsidR="006557D8" w:rsidRPr="006557D8" w:rsidRDefault="006557D8" w:rsidP="006557D8">
      <w:pPr>
        <w:numPr>
          <w:ilvl w:val="0"/>
          <w:numId w:val="4"/>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включенные электроприборы.</w:t>
      </w:r>
    </w:p>
    <w:p w:rsidR="006557D8" w:rsidRPr="006557D8" w:rsidRDefault="00DF5B7C" w:rsidP="00DF5B7C">
      <w:pPr>
        <w:shd w:val="clear" w:color="auto" w:fill="FFFFFF"/>
        <w:spacing w:before="100" w:beforeAutospacing="1" w:after="100" w:afterAutospacing="1" w:line="240" w:lineRule="auto"/>
        <w:jc w:val="both"/>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2.</w:t>
      </w:r>
      <w:r w:rsidR="006557D8" w:rsidRPr="006557D8">
        <w:rPr>
          <w:rFonts w:ascii="Times New Roman" w:eastAsia="Times New Roman" w:hAnsi="Times New Roman" w:cs="Times New Roman"/>
          <w:b/>
          <w:bCs/>
          <w:color w:val="000000" w:themeColor="text1"/>
          <w:sz w:val="28"/>
          <w:szCs w:val="28"/>
          <w:lang w:eastAsia="ru-RU"/>
        </w:rPr>
        <w:t>Предметы, с которыми детей нужно научить обращаться  (зависит от возраста):</w:t>
      </w:r>
    </w:p>
    <w:p w:rsidR="006557D8" w:rsidRPr="006557D8" w:rsidRDefault="006557D8" w:rsidP="006557D8">
      <w:pPr>
        <w:numPr>
          <w:ilvl w:val="0"/>
          <w:numId w:val="6"/>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иголка;</w:t>
      </w:r>
    </w:p>
    <w:p w:rsidR="006557D8" w:rsidRPr="006557D8" w:rsidRDefault="006557D8" w:rsidP="006557D8">
      <w:pPr>
        <w:numPr>
          <w:ilvl w:val="0"/>
          <w:numId w:val="6"/>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ножницы;</w:t>
      </w:r>
    </w:p>
    <w:p w:rsidR="006557D8" w:rsidRPr="006557D8" w:rsidRDefault="006557D8" w:rsidP="006557D8">
      <w:pPr>
        <w:numPr>
          <w:ilvl w:val="0"/>
          <w:numId w:val="6"/>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нож.</w:t>
      </w:r>
    </w:p>
    <w:p w:rsidR="006557D8" w:rsidRPr="006557D8" w:rsidRDefault="00DF5B7C" w:rsidP="006557D8">
      <w:pPr>
        <w:shd w:val="clear" w:color="auto" w:fill="FFFFFF"/>
        <w:spacing w:after="0" w:line="240" w:lineRule="auto"/>
        <w:jc w:val="both"/>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3.</w:t>
      </w:r>
      <w:r w:rsidR="006557D8" w:rsidRPr="006557D8">
        <w:rPr>
          <w:rFonts w:ascii="Times New Roman" w:eastAsia="Times New Roman" w:hAnsi="Times New Roman" w:cs="Times New Roman"/>
          <w:b/>
          <w:bCs/>
          <w:color w:val="000000" w:themeColor="text1"/>
          <w:sz w:val="28"/>
          <w:szCs w:val="28"/>
          <w:lang w:eastAsia="ru-RU"/>
        </w:rPr>
        <w:t>Предметы, которые необходимо хранить в недоступных для детей местах:</w:t>
      </w:r>
    </w:p>
    <w:p w:rsidR="006557D8" w:rsidRPr="006557D8" w:rsidRDefault="006557D8" w:rsidP="006557D8">
      <w:pPr>
        <w:numPr>
          <w:ilvl w:val="0"/>
          <w:numId w:val="7"/>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бытовая химия;</w:t>
      </w:r>
    </w:p>
    <w:p w:rsidR="006557D8" w:rsidRPr="006557D8" w:rsidRDefault="006557D8" w:rsidP="006557D8">
      <w:pPr>
        <w:numPr>
          <w:ilvl w:val="0"/>
          <w:numId w:val="7"/>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лекарства;</w:t>
      </w:r>
    </w:p>
    <w:p w:rsidR="006557D8" w:rsidRPr="006557D8" w:rsidRDefault="006557D8" w:rsidP="006557D8">
      <w:pPr>
        <w:numPr>
          <w:ilvl w:val="0"/>
          <w:numId w:val="7"/>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спиртные напитки;</w:t>
      </w:r>
    </w:p>
    <w:p w:rsidR="006557D8" w:rsidRPr="006557D8" w:rsidRDefault="006557D8" w:rsidP="006557D8">
      <w:pPr>
        <w:numPr>
          <w:ilvl w:val="0"/>
          <w:numId w:val="7"/>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сигареты;</w:t>
      </w:r>
    </w:p>
    <w:p w:rsidR="006557D8" w:rsidRPr="006557D8" w:rsidRDefault="006557D8" w:rsidP="006557D8">
      <w:pPr>
        <w:numPr>
          <w:ilvl w:val="0"/>
          <w:numId w:val="7"/>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пищевые кислоты;</w:t>
      </w:r>
    </w:p>
    <w:p w:rsidR="006557D8" w:rsidRPr="006557D8" w:rsidRDefault="006557D8" w:rsidP="006557D8">
      <w:pPr>
        <w:numPr>
          <w:ilvl w:val="0"/>
          <w:numId w:val="7"/>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режуще-колющие инструменты.</w:t>
      </w:r>
    </w:p>
    <w:p w:rsidR="006557D8" w:rsidRPr="006557D8" w:rsidRDefault="006557D8" w:rsidP="006557D8">
      <w:pPr>
        <w:shd w:val="clear" w:color="auto" w:fill="FFFFFF"/>
        <w:spacing w:after="0" w:line="240" w:lineRule="auto"/>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         </w:t>
      </w:r>
      <w:r w:rsidRPr="006557D8">
        <w:rPr>
          <w:rFonts w:ascii="Times New Roman" w:eastAsia="Times New Roman" w:hAnsi="Times New Roman" w:cs="Times New Roman"/>
          <w:b/>
          <w:bCs/>
          <w:color w:val="000000" w:themeColor="text1"/>
          <w:sz w:val="28"/>
          <w:szCs w:val="28"/>
          <w:u w:val="single"/>
          <w:lang w:eastAsia="ru-RU"/>
        </w:rPr>
        <w:t>Ребенок должен запомнить:</w:t>
      </w:r>
    </w:p>
    <w:p w:rsidR="006557D8" w:rsidRPr="006557D8" w:rsidRDefault="006557D8" w:rsidP="006557D8">
      <w:pPr>
        <w:numPr>
          <w:ilvl w:val="0"/>
          <w:numId w:val="8"/>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6557D8" w:rsidRPr="006557D8" w:rsidRDefault="006557D8" w:rsidP="006557D8">
      <w:pPr>
        <w:numPr>
          <w:ilvl w:val="0"/>
          <w:numId w:val="8"/>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6557D8" w:rsidRPr="006557D8" w:rsidRDefault="006557D8" w:rsidP="006557D8">
      <w:pPr>
        <w:numPr>
          <w:ilvl w:val="0"/>
          <w:numId w:val="8"/>
        </w:numPr>
        <w:shd w:val="clear" w:color="auto" w:fill="FFFFFF"/>
        <w:spacing w:before="30" w:after="30" w:line="240" w:lineRule="auto"/>
        <w:ind w:left="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6557D8" w:rsidRPr="006557D8" w:rsidRDefault="006557D8" w:rsidP="006557D8">
      <w:pPr>
        <w:shd w:val="clear" w:color="auto" w:fill="FFFFFF"/>
        <w:spacing w:after="0" w:line="240" w:lineRule="auto"/>
        <w:jc w:val="center"/>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28"/>
          <w:szCs w:val="28"/>
          <w:lang w:eastAsia="ru-RU"/>
        </w:rPr>
        <w:t>Уважаемые родители!</w:t>
      </w:r>
    </w:p>
    <w:p w:rsidR="006557D8" w:rsidRPr="006557D8" w:rsidRDefault="006557D8" w:rsidP="006557D8">
      <w:pPr>
        <w:shd w:val="clear" w:color="auto" w:fill="FFFFFF"/>
        <w:spacing w:after="0" w:line="240" w:lineRule="auto"/>
        <w:jc w:val="center"/>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28"/>
          <w:szCs w:val="28"/>
          <w:lang w:eastAsia="ru-RU"/>
        </w:rPr>
        <w:t>Помните, что от качества соблюдения вами профилактических и предохранительных мер зависит безопасность вашего ребенка!</w:t>
      </w:r>
    </w:p>
    <w:p w:rsidR="006557D8" w:rsidRPr="006557D8" w:rsidRDefault="006557D8" w:rsidP="006557D8">
      <w:pPr>
        <w:shd w:val="clear" w:color="auto" w:fill="FFFFFF"/>
        <w:spacing w:after="0" w:line="240" w:lineRule="auto"/>
        <w:rPr>
          <w:rFonts w:ascii="Calibri" w:eastAsia="Times New Roman" w:hAnsi="Calibri" w:cs="Calibri"/>
          <w:color w:val="000000" w:themeColor="text1"/>
          <w:lang w:eastAsia="ru-RU"/>
        </w:rPr>
      </w:pPr>
      <w:r w:rsidRPr="006557D8">
        <w:rPr>
          <w:rFonts w:ascii="Calibri" w:eastAsia="Times New Roman" w:hAnsi="Calibri" w:cs="Calibri"/>
          <w:noProof/>
          <w:color w:val="000000" w:themeColor="text1"/>
          <w:bdr w:val="single" w:sz="2" w:space="0" w:color="000000" w:frame="1"/>
          <w:lang w:eastAsia="ru-RU"/>
        </w:rPr>
        <w:lastRenderedPageBreak/>
        <w:drawing>
          <wp:inline distT="0" distB="0" distL="0" distR="0" wp14:anchorId="75ACC4FF" wp14:editId="000E4F92">
            <wp:extent cx="3810000" cy="2847975"/>
            <wp:effectExtent l="0" t="0" r="0" b="9525"/>
            <wp:docPr id="1" name="Рисунок 1" descr="https://01.mchs.gov.ru/uploads/resize_cache/news/2020-12-13/mchs-rossii-napominaet-ne-ostavlyayte-detey-bez-prismotra_1607842033666349940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mchs.gov.ru/uploads/resize_cache/news/2020-12-13/mchs-rossii-napominaet-ne-ostavlyayte-detey-bez-prismotra_1607842033666349940__2000x2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6557D8" w:rsidRPr="006557D8" w:rsidRDefault="006557D8" w:rsidP="006557D8">
      <w:pPr>
        <w:shd w:val="clear" w:color="auto" w:fill="FFFFFF"/>
        <w:spacing w:after="0" w:line="240" w:lineRule="auto"/>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        </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За последние месяцы увеличилось количество несчастных случаев с участием детей, которых родители оставляли одних без присмотра даже на непродолжительное время на улице или дома. Дети не всегда осознают опасности, которые их поджидают, поэтому чаще всего несчастные случаи происходят именно с ними.</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Так, обязанность родителей осуществлять защиту прав и интересов детей закреплена в законе.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b/>
          <w:bCs/>
          <w:color w:val="000000" w:themeColor="text1"/>
          <w:sz w:val="40"/>
          <w:szCs w:val="40"/>
          <w:lang w:eastAsia="ru-RU"/>
        </w:rPr>
        <w:t>Родителям</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необходимо</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помнить</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что</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за</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оставление</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ребенка</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в</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опасности</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предусмотрена</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уголовная</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ответственность</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в</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соответствии</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со</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ст</w:t>
      </w:r>
      <w:r w:rsidRPr="006557D8">
        <w:rPr>
          <w:rFonts w:ascii="Balthazar" w:eastAsia="Times New Roman" w:hAnsi="Balthazar" w:cs="Calibri"/>
          <w:b/>
          <w:bCs/>
          <w:color w:val="000000" w:themeColor="text1"/>
          <w:sz w:val="40"/>
          <w:szCs w:val="40"/>
          <w:lang w:eastAsia="ru-RU"/>
        </w:rPr>
        <w:t>. 125 </w:t>
      </w:r>
      <w:r w:rsidRPr="006557D8">
        <w:rPr>
          <w:rFonts w:ascii="Times New Roman" w:eastAsia="Times New Roman" w:hAnsi="Times New Roman" w:cs="Times New Roman"/>
          <w:b/>
          <w:bCs/>
          <w:color w:val="000000" w:themeColor="text1"/>
          <w:sz w:val="40"/>
          <w:szCs w:val="40"/>
          <w:lang w:eastAsia="ru-RU"/>
        </w:rPr>
        <w:t>УК</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РФ</w:t>
      </w:r>
      <w:r w:rsidRPr="006557D8">
        <w:rPr>
          <w:rFonts w:ascii="Balthazar" w:eastAsia="Times New Roman" w:hAnsi="Balthazar" w:cs="Calibri"/>
          <w:b/>
          <w:bCs/>
          <w:color w:val="000000" w:themeColor="text1"/>
          <w:sz w:val="40"/>
          <w:szCs w:val="40"/>
          <w:lang w:eastAsia="ru-RU"/>
        </w:rPr>
        <w:t>. </w:t>
      </w:r>
      <w:r w:rsidRPr="006557D8">
        <w:rPr>
          <w:rFonts w:ascii="Times New Roman" w:eastAsia="Times New Roman" w:hAnsi="Times New Roman" w:cs="Times New Roman"/>
          <w:b/>
          <w:bCs/>
          <w:color w:val="000000" w:themeColor="text1"/>
          <w:sz w:val="40"/>
          <w:szCs w:val="40"/>
          <w:lang w:eastAsia="ru-RU"/>
        </w:rPr>
        <w:t>Знайте</w:t>
      </w:r>
      <w:r w:rsidRPr="006557D8">
        <w:rPr>
          <w:rFonts w:ascii="Balthazar" w:eastAsia="Times New Roman" w:hAnsi="Balthazar" w:cs="Calibri"/>
          <w:b/>
          <w:bCs/>
          <w:color w:val="000000" w:themeColor="text1"/>
          <w:sz w:val="40"/>
          <w:szCs w:val="40"/>
          <w:lang w:eastAsia="ru-RU"/>
        </w:rPr>
        <w:t>!</w:t>
      </w:r>
      <w:r w:rsidRPr="006557D8">
        <w:rPr>
          <w:rFonts w:ascii="Balthazar" w:eastAsia="Times New Roman" w:hAnsi="Balthazar" w:cs="Calibri"/>
          <w:color w:val="000000" w:themeColor="text1"/>
          <w:sz w:val="40"/>
          <w:szCs w:val="40"/>
          <w:lang w:eastAsia="ru-RU"/>
        </w:rPr>
        <w:t> </w:t>
      </w:r>
    </w:p>
    <w:p w:rsidR="006557D8" w:rsidRPr="006557D8" w:rsidRDefault="006557D8" w:rsidP="006557D8">
      <w:pPr>
        <w:shd w:val="clear" w:color="auto" w:fill="FFFFFF"/>
        <w:spacing w:after="0" w:line="240" w:lineRule="auto"/>
        <w:ind w:firstLine="710"/>
        <w:jc w:val="both"/>
        <w:rPr>
          <w:rFonts w:ascii="Calibri" w:eastAsia="Times New Roman" w:hAnsi="Calibri" w:cs="Calibri"/>
          <w:color w:val="000000" w:themeColor="text1"/>
          <w:lang w:eastAsia="ru-RU"/>
        </w:rPr>
      </w:pPr>
      <w:r w:rsidRPr="006557D8">
        <w:rPr>
          <w:rFonts w:ascii="Times New Roman" w:eastAsia="Times New Roman" w:hAnsi="Times New Roman" w:cs="Times New Roman"/>
          <w:color w:val="000000" w:themeColor="text1"/>
          <w:sz w:val="28"/>
          <w:szCs w:val="28"/>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6557D8" w:rsidRPr="006557D8" w:rsidRDefault="006557D8" w:rsidP="006557D8">
      <w:pPr>
        <w:rPr>
          <w:color w:val="000000" w:themeColor="text1"/>
        </w:rPr>
      </w:pPr>
    </w:p>
    <w:p w:rsidR="007116F9" w:rsidRPr="006557D8" w:rsidRDefault="007116F9">
      <w:pPr>
        <w:rPr>
          <w:color w:val="000000" w:themeColor="text1"/>
        </w:rPr>
      </w:pPr>
    </w:p>
    <w:sectPr w:rsidR="007116F9" w:rsidRPr="0065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haz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581B"/>
    <w:multiLevelType w:val="multilevel"/>
    <w:tmpl w:val="9E6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C12BF"/>
    <w:multiLevelType w:val="multilevel"/>
    <w:tmpl w:val="A38A6A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F574C52"/>
    <w:multiLevelType w:val="multilevel"/>
    <w:tmpl w:val="632E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B1BA4"/>
    <w:multiLevelType w:val="multilevel"/>
    <w:tmpl w:val="24EA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477CD"/>
    <w:multiLevelType w:val="multilevel"/>
    <w:tmpl w:val="7DB8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F46BF"/>
    <w:multiLevelType w:val="multilevel"/>
    <w:tmpl w:val="BA9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102D7"/>
    <w:multiLevelType w:val="multilevel"/>
    <w:tmpl w:val="270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D5168"/>
    <w:multiLevelType w:val="multilevel"/>
    <w:tmpl w:val="B27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D8"/>
    <w:rsid w:val="00140822"/>
    <w:rsid w:val="00205BB4"/>
    <w:rsid w:val="00410838"/>
    <w:rsid w:val="006557D8"/>
    <w:rsid w:val="007116F9"/>
    <w:rsid w:val="007844AB"/>
    <w:rsid w:val="00DF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10B41-112C-47DC-B51B-FC3D2BC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79875</cp:lastModifiedBy>
  <cp:revision>5</cp:revision>
  <dcterms:created xsi:type="dcterms:W3CDTF">2022-09-12T17:54:00Z</dcterms:created>
  <dcterms:modified xsi:type="dcterms:W3CDTF">2022-09-21T08:15:00Z</dcterms:modified>
</cp:coreProperties>
</file>