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BE" w:rsidRPr="003126BE" w:rsidRDefault="003126BE" w:rsidP="003126BE">
      <w:pPr>
        <w:ind w:left="-851"/>
        <w:jc w:val="center"/>
        <w:rPr>
          <w:b/>
          <w:color w:val="000000"/>
          <w:sz w:val="28"/>
          <w:szCs w:val="28"/>
        </w:rPr>
      </w:pPr>
      <w:r w:rsidRPr="003126BE">
        <w:rPr>
          <w:b/>
          <w:color w:val="000000"/>
          <w:sz w:val="28"/>
          <w:szCs w:val="28"/>
        </w:rPr>
        <w:t>Результаты итоговой аттестации</w:t>
      </w:r>
    </w:p>
    <w:p w:rsidR="003126BE" w:rsidRPr="003126BE" w:rsidRDefault="003126BE" w:rsidP="003126BE">
      <w:pPr>
        <w:ind w:left="-851"/>
        <w:jc w:val="center"/>
        <w:rPr>
          <w:b/>
          <w:color w:val="000000"/>
          <w:sz w:val="28"/>
          <w:szCs w:val="28"/>
        </w:rPr>
      </w:pPr>
      <w:r w:rsidRPr="003126BE">
        <w:rPr>
          <w:b/>
          <w:color w:val="000000"/>
          <w:sz w:val="28"/>
          <w:szCs w:val="28"/>
        </w:rPr>
        <w:t>выпускников 9 и 11 классов в 2018-19 учебном году.</w:t>
      </w:r>
    </w:p>
    <w:p w:rsidR="003126BE" w:rsidRPr="003126BE" w:rsidRDefault="003126BE" w:rsidP="003126BE">
      <w:pPr>
        <w:ind w:left="-851"/>
        <w:jc w:val="center"/>
        <w:rPr>
          <w:b/>
          <w:color w:val="000000"/>
          <w:sz w:val="28"/>
          <w:szCs w:val="28"/>
        </w:rPr>
      </w:pPr>
    </w:p>
    <w:p w:rsidR="00822C3B" w:rsidRDefault="00822C3B" w:rsidP="003126BE">
      <w:pPr>
        <w:ind w:left="-851"/>
        <w:jc w:val="both"/>
      </w:pPr>
      <w:r>
        <w:rPr>
          <w:b/>
          <w:color w:val="000000"/>
          <w:szCs w:val="28"/>
        </w:rPr>
        <w:t>Государственная итоговая аттестация выпускников 9 классов.</w:t>
      </w:r>
      <w:r>
        <w:rPr>
          <w:color w:val="000000"/>
          <w:szCs w:val="28"/>
        </w:rPr>
        <w:t xml:space="preserve">                                                                       </w:t>
      </w:r>
      <w:r>
        <w:rPr>
          <w:color w:val="000000"/>
        </w:rPr>
        <w:t>Из 73</w:t>
      </w:r>
      <w:r w:rsidRPr="00B24A78">
        <w:rPr>
          <w:color w:val="000000"/>
        </w:rPr>
        <w:t xml:space="preserve"> учеников 9 классов  к итоговой аттестации  были допущены -</w:t>
      </w:r>
      <w:r>
        <w:rPr>
          <w:color w:val="000000"/>
        </w:rPr>
        <w:t xml:space="preserve"> 73</w:t>
      </w:r>
      <w:r w:rsidRPr="00B24A78">
        <w:rPr>
          <w:color w:val="000000"/>
        </w:rPr>
        <w:t>, т.к. по итогам учебного года  выпускники показали достаточный уровень освоения  программного материала  по всем предметам.</w:t>
      </w:r>
      <w:r>
        <w:t xml:space="preserve"> </w:t>
      </w:r>
      <w:r w:rsidRPr="00B24A78">
        <w:t>Итоговая аттестация  обучающихся 9 классов в 201</w:t>
      </w:r>
      <w:r>
        <w:t>8</w:t>
      </w:r>
      <w:r w:rsidRPr="00B24A78">
        <w:t>-201</w:t>
      </w:r>
      <w:r>
        <w:t>9</w:t>
      </w:r>
      <w:r w:rsidRPr="00B24A78">
        <w:t xml:space="preserve"> учебном году проходила в  форме – ОГЭ</w:t>
      </w:r>
      <w:r>
        <w:t xml:space="preserve"> и ГВЭ(3 </w:t>
      </w:r>
      <w:r w:rsidRPr="00B24A78">
        <w:t>ученик</w:t>
      </w:r>
      <w:r>
        <w:t>а</w:t>
      </w:r>
      <w:r w:rsidRPr="007505C8">
        <w:t>)</w:t>
      </w:r>
      <w:r>
        <w:t xml:space="preserve">. </w:t>
      </w:r>
      <w:proofErr w:type="gramStart"/>
      <w:r>
        <w:t>На основании</w:t>
      </w:r>
      <w:r w:rsidRPr="007505C8">
        <w:t xml:space="preserve">  Приказ</w:t>
      </w:r>
      <w:r>
        <w:t>а</w:t>
      </w:r>
      <w:r w:rsidRPr="007505C8">
        <w:t xml:space="preserve"> </w:t>
      </w:r>
      <w:proofErr w:type="spellStart"/>
      <w:r w:rsidRPr="007505C8">
        <w:t>Рособрнадзора</w:t>
      </w:r>
      <w:proofErr w:type="spellEnd"/>
      <w:r w:rsidRPr="007505C8">
        <w:t xml:space="preserve"> от 07.11.2018 № 189/1513 «Об утверждении Порядка проведениягосударственной итоговой аттестации по образователь</w:t>
      </w:r>
      <w:r>
        <w:t>-</w:t>
      </w:r>
      <w:proofErr w:type="gramEnd"/>
    </w:p>
    <w:p w:rsidR="00822C3B" w:rsidRDefault="00822C3B" w:rsidP="003126BE">
      <w:pPr>
        <w:ind w:left="-851"/>
        <w:jc w:val="both"/>
      </w:pPr>
      <w:proofErr w:type="spellStart"/>
      <w:r w:rsidRPr="007505C8">
        <w:t>ным</w:t>
      </w:r>
      <w:proofErr w:type="spellEnd"/>
      <w:r w:rsidRPr="007505C8">
        <w:t> программам</w:t>
      </w:r>
      <w:r>
        <w:t xml:space="preserve"> </w:t>
      </w:r>
      <w:r w:rsidRPr="007505C8">
        <w:t>основного общего образования</w:t>
      </w:r>
      <w:r>
        <w:t>» п.9 в 9А классе -26</w:t>
      </w:r>
      <w:r w:rsidRPr="00B24A78">
        <w:t xml:space="preserve"> человека</w:t>
      </w:r>
      <w:r>
        <w:t xml:space="preserve"> </w:t>
      </w:r>
      <w:r w:rsidRPr="00B24A78">
        <w:t>(в форме ГВЭ -1 учащийся),</w:t>
      </w:r>
      <w:r>
        <w:t xml:space="preserve"> в 9Б классе 24 человека </w:t>
      </w:r>
      <w:r w:rsidRPr="00B24A78">
        <w:t>(в форме ГВЭ -1 учащийся)</w:t>
      </w:r>
      <w:r>
        <w:t xml:space="preserve">, в 9В классе-23 ученика </w:t>
      </w:r>
      <w:r w:rsidRPr="00B24A78">
        <w:t>(в форме ГВЭ -1 учащийся)</w:t>
      </w:r>
      <w:r>
        <w:t xml:space="preserve">. </w:t>
      </w:r>
    </w:p>
    <w:p w:rsidR="00822C3B" w:rsidRDefault="00822C3B" w:rsidP="003126BE">
      <w:pPr>
        <w:ind w:left="-851"/>
        <w:jc w:val="both"/>
      </w:pPr>
      <w:r>
        <w:t>73 ученика</w:t>
      </w:r>
      <w:r w:rsidRPr="00B24A78">
        <w:t xml:space="preserve"> сдавали  2 </w:t>
      </w:r>
      <w:proofErr w:type="gramStart"/>
      <w:r w:rsidRPr="00B24A78">
        <w:t>обязательных</w:t>
      </w:r>
      <w:proofErr w:type="gramEnd"/>
      <w:r w:rsidRPr="00B24A78">
        <w:t xml:space="preserve"> экзамена по русскому языку и математике и 2</w:t>
      </w:r>
      <w:r>
        <w:t xml:space="preserve"> экзамена по выбору учащегося; </w:t>
      </w:r>
    </w:p>
    <w:p w:rsidR="00822C3B" w:rsidRDefault="00822C3B" w:rsidP="003126BE">
      <w:pPr>
        <w:ind w:left="-851"/>
        <w:jc w:val="both"/>
      </w:pPr>
      <w:r>
        <w:t>3 ученика сдавали</w:t>
      </w:r>
      <w:r w:rsidRPr="00B24A78">
        <w:t xml:space="preserve">  2 </w:t>
      </w:r>
      <w:proofErr w:type="gramStart"/>
      <w:r w:rsidRPr="00B24A78">
        <w:t>обязательных</w:t>
      </w:r>
      <w:proofErr w:type="gramEnd"/>
      <w:r w:rsidRPr="00B24A78">
        <w:t xml:space="preserve"> экзамена по русскому языку и математике в форме ГВЭ.</w:t>
      </w:r>
    </w:p>
    <w:p w:rsidR="00822C3B" w:rsidRDefault="00822C3B" w:rsidP="00822C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2C3B" w:rsidRDefault="00822C3B" w:rsidP="003126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представлен анализ результатов ГИА в 9 классах: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48"/>
        <w:gridCol w:w="522"/>
        <w:gridCol w:w="522"/>
        <w:gridCol w:w="576"/>
        <w:gridCol w:w="425"/>
        <w:gridCol w:w="993"/>
        <w:gridCol w:w="1134"/>
        <w:gridCol w:w="850"/>
        <w:gridCol w:w="992"/>
        <w:gridCol w:w="851"/>
        <w:gridCol w:w="709"/>
      </w:tblGrid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Всего уч-ся сдавало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A78">
              <w:rPr>
                <w:rFonts w:ascii="Times New Roman" w:hAnsi="Times New Roman"/>
                <w:sz w:val="24"/>
                <w:szCs w:val="24"/>
              </w:rPr>
              <w:t>обученно</w:t>
            </w:r>
            <w:proofErr w:type="spellEnd"/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A7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Подтвердили год</w:t>
            </w:r>
            <w:proofErr w:type="gramStart"/>
            <w:r w:rsidRPr="00B24A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4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4A7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24A78">
              <w:rPr>
                <w:rFonts w:ascii="Times New Roman" w:hAnsi="Times New Roman"/>
                <w:sz w:val="24"/>
                <w:szCs w:val="24"/>
              </w:rPr>
              <w:t>ценку</w:t>
            </w:r>
          </w:p>
        </w:tc>
        <w:tc>
          <w:tcPr>
            <w:tcW w:w="851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Повысили</w:t>
            </w:r>
          </w:p>
        </w:tc>
        <w:tc>
          <w:tcPr>
            <w:tcW w:w="709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Понизили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A78">
              <w:rPr>
                <w:rFonts w:ascii="Times New Roman" w:hAnsi="Times New Roman"/>
                <w:sz w:val="24"/>
                <w:szCs w:val="24"/>
              </w:rPr>
              <w:t>Матема</w:t>
            </w:r>
            <w:proofErr w:type="spellEnd"/>
          </w:p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24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B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48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2C3B" w:rsidRPr="00B24A78" w:rsidTr="003126BE">
        <w:tc>
          <w:tcPr>
            <w:tcW w:w="2127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A7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822C3B" w:rsidRPr="00B24A7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22C3B" w:rsidRPr="00750DB8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22C3B" w:rsidRPr="00B24A78" w:rsidRDefault="00822C3B" w:rsidP="00822C3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822C3B" w:rsidRPr="00B24A78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B24A78">
        <w:rPr>
          <w:rFonts w:ascii="Times New Roman" w:hAnsi="Times New Roman"/>
          <w:sz w:val="24"/>
          <w:szCs w:val="24"/>
        </w:rPr>
        <w:t>Сре</w:t>
      </w:r>
      <w:r>
        <w:rPr>
          <w:rFonts w:ascii="Times New Roman" w:hAnsi="Times New Roman"/>
          <w:sz w:val="24"/>
          <w:szCs w:val="24"/>
        </w:rPr>
        <w:t xml:space="preserve">дний балл по русскому языку (4,2) не значительно </w:t>
      </w:r>
      <w:proofErr w:type="gramStart"/>
      <w:r>
        <w:rPr>
          <w:rFonts w:ascii="Times New Roman" w:hAnsi="Times New Roman"/>
          <w:sz w:val="24"/>
          <w:szCs w:val="24"/>
        </w:rPr>
        <w:t>ниже</w:t>
      </w:r>
      <w:proofErr w:type="gramEnd"/>
      <w:r w:rsidRPr="00B24A78">
        <w:rPr>
          <w:rFonts w:ascii="Times New Roman" w:hAnsi="Times New Roman"/>
          <w:sz w:val="24"/>
          <w:szCs w:val="24"/>
        </w:rPr>
        <w:t xml:space="preserve"> чем в предыдущем году </w:t>
      </w:r>
      <w:r>
        <w:rPr>
          <w:rFonts w:ascii="Times New Roman" w:hAnsi="Times New Roman"/>
          <w:sz w:val="24"/>
          <w:szCs w:val="24"/>
        </w:rPr>
        <w:t>по лицею (4,3) , по математике (4,3) чуть выше прошлогоднего (4,2</w:t>
      </w:r>
      <w:r w:rsidRPr="00B24A78">
        <w:rPr>
          <w:rFonts w:ascii="Times New Roman" w:hAnsi="Times New Roman"/>
          <w:sz w:val="24"/>
          <w:szCs w:val="24"/>
        </w:rPr>
        <w:t>) .</w:t>
      </w:r>
    </w:p>
    <w:p w:rsidR="00822C3B" w:rsidRPr="00B24A78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B24A78">
        <w:rPr>
          <w:rFonts w:ascii="Times New Roman" w:hAnsi="Times New Roman"/>
          <w:sz w:val="24"/>
          <w:szCs w:val="24"/>
        </w:rPr>
        <w:t>Количество учащихся набравших высокий балл по результатам итоговой аттестации за курс основной школы</w:t>
      </w:r>
      <w:r>
        <w:rPr>
          <w:rFonts w:ascii="Times New Roman" w:hAnsi="Times New Roman"/>
          <w:sz w:val="24"/>
          <w:szCs w:val="24"/>
        </w:rPr>
        <w:t>-</w:t>
      </w:r>
      <w:r w:rsidRPr="00741079">
        <w:rPr>
          <w:rFonts w:ascii="Times New Roman" w:hAnsi="Times New Roman"/>
          <w:sz w:val="24"/>
          <w:szCs w:val="24"/>
        </w:rPr>
        <w:t>42</w:t>
      </w:r>
    </w:p>
    <w:p w:rsidR="00822C3B" w:rsidRPr="00B24A78" w:rsidRDefault="00822C3B" w:rsidP="00822C3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402"/>
        <w:gridCol w:w="3084"/>
      </w:tblGrid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Отметки за экзамены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5,5,5,5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5,5,5,4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5,5,4,4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5,4,4,4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4,4,4,4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2C3B" w:rsidRPr="00B24A78" w:rsidTr="00BC6A90">
        <w:tc>
          <w:tcPr>
            <w:tcW w:w="3085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CE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22C3B" w:rsidRPr="002B3CE2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 2учащихся (58</w:t>
            </w:r>
            <w:r w:rsidRPr="002B3CE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22C3B" w:rsidRPr="00B24A78" w:rsidRDefault="00822C3B" w:rsidP="00822C3B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</w:p>
    <w:p w:rsidR="00822C3B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B24A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B24A78">
        <w:rPr>
          <w:rFonts w:ascii="Times New Roman" w:hAnsi="Times New Roman"/>
          <w:sz w:val="24"/>
          <w:szCs w:val="24"/>
        </w:rPr>
        <w:t xml:space="preserve">На основании Приказа </w:t>
      </w:r>
      <w:proofErr w:type="spellStart"/>
      <w:r w:rsidRPr="00B24A7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24A78">
        <w:rPr>
          <w:rFonts w:ascii="Times New Roman" w:hAnsi="Times New Roman"/>
          <w:sz w:val="24"/>
          <w:szCs w:val="24"/>
        </w:rPr>
        <w:t xml:space="preserve"> России от 14.02.2014г № 115 «Об утверждении Порядка заполнения, учета и выдачи аттестатов об основном общем и среднем общем </w:t>
      </w:r>
      <w:r>
        <w:rPr>
          <w:rFonts w:ascii="Times New Roman" w:hAnsi="Times New Roman"/>
          <w:sz w:val="24"/>
          <w:szCs w:val="24"/>
        </w:rPr>
        <w:t>образовании и их дубликатов»  73 выпускника</w:t>
      </w:r>
      <w:r w:rsidRPr="00B24A78">
        <w:rPr>
          <w:rFonts w:ascii="Times New Roman" w:hAnsi="Times New Roman"/>
          <w:sz w:val="24"/>
          <w:szCs w:val="24"/>
        </w:rPr>
        <w:t xml:space="preserve"> 9-х классов, освоивших основные общеобразовательные программы основного, общего образования и прошедшие государственную аттестацию, получили аттестаты </w:t>
      </w:r>
      <w:r w:rsidRPr="00B24A78">
        <w:rPr>
          <w:rFonts w:ascii="Times New Roman" w:hAnsi="Times New Roman"/>
          <w:sz w:val="24"/>
          <w:szCs w:val="24"/>
        </w:rPr>
        <w:lastRenderedPageBreak/>
        <w:t>об основ</w:t>
      </w:r>
      <w:r>
        <w:rPr>
          <w:rFonts w:ascii="Times New Roman" w:hAnsi="Times New Roman"/>
          <w:sz w:val="24"/>
          <w:szCs w:val="24"/>
        </w:rPr>
        <w:t>ном общем образовании, из них 11 учащихся (15%</w:t>
      </w:r>
      <w:r w:rsidRPr="00B24A78">
        <w:rPr>
          <w:rFonts w:ascii="Times New Roman" w:hAnsi="Times New Roman"/>
          <w:sz w:val="24"/>
          <w:szCs w:val="24"/>
        </w:rPr>
        <w:t>) получили аттестаты об основном общем образовании с</w:t>
      </w:r>
      <w:proofErr w:type="gramEnd"/>
      <w:r w:rsidRPr="00B24A78">
        <w:rPr>
          <w:rFonts w:ascii="Times New Roman" w:hAnsi="Times New Roman"/>
          <w:sz w:val="24"/>
          <w:szCs w:val="24"/>
        </w:rPr>
        <w:t xml:space="preserve"> отличием. </w:t>
      </w:r>
    </w:p>
    <w:p w:rsidR="00822C3B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822333">
        <w:rPr>
          <w:rFonts w:ascii="Times New Roman" w:hAnsi="Times New Roman"/>
          <w:sz w:val="24"/>
          <w:szCs w:val="24"/>
        </w:rPr>
        <w:t>Средний балл по обязательным предметам</w:t>
      </w:r>
      <w:proofErr w:type="gramStart"/>
      <w:r w:rsidRPr="008223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2333">
        <w:rPr>
          <w:rFonts w:ascii="Times New Roman" w:hAnsi="Times New Roman"/>
          <w:sz w:val="24"/>
          <w:szCs w:val="24"/>
        </w:rPr>
        <w:t xml:space="preserve"> по русскому языку (4,2) остался на прежнем уровне и  выше среднего балла по району (4,1);по математике (4,3) это незначительно выше прошлогоднего (4,2) и  выше среднего по району (3,8) . Результаты итоговой аттестации предметов по выбору</w:t>
      </w:r>
      <w:proofErr w:type="gramStart"/>
      <w:r w:rsidRPr="008223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2333">
        <w:rPr>
          <w:rFonts w:ascii="Times New Roman" w:hAnsi="Times New Roman"/>
          <w:sz w:val="24"/>
          <w:szCs w:val="24"/>
        </w:rPr>
        <w:t xml:space="preserve"> химия- ср.б. 4,5 (по району 4,3), обществознание ср.б.- 4 (по району-3,6),  история ср.б. -3,9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33">
        <w:rPr>
          <w:rFonts w:ascii="Times New Roman" w:hAnsi="Times New Roman"/>
          <w:sz w:val="24"/>
          <w:szCs w:val="24"/>
        </w:rPr>
        <w:t xml:space="preserve">(по району-3,8),  информатика и ИКТср.б.-4,2 (по району-4,2), физика ср.б.- 4,3 (по району-3,6),  география ср.б.-4,1(по району 3,9), биология </w:t>
      </w:r>
      <w:proofErr w:type="gramStart"/>
      <w:r w:rsidRPr="00822333">
        <w:rPr>
          <w:rFonts w:ascii="Times New Roman" w:hAnsi="Times New Roman"/>
          <w:sz w:val="24"/>
          <w:szCs w:val="24"/>
        </w:rPr>
        <w:t>ср</w:t>
      </w:r>
      <w:proofErr w:type="gramEnd"/>
      <w:r w:rsidRPr="00822333">
        <w:rPr>
          <w:rFonts w:ascii="Times New Roman" w:hAnsi="Times New Roman"/>
          <w:sz w:val="24"/>
          <w:szCs w:val="24"/>
        </w:rPr>
        <w:t>.б.- 4(по району-3,3) свидетельствуют о хорошей подготовке учащихся и правильному выбору предметов. Количество учащихся набравших высокий балл по результатам итоговой аттестации за курс основной школы-42</w:t>
      </w:r>
    </w:p>
    <w:p w:rsidR="00822C3B" w:rsidRPr="00822333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Аттестаты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основном общем образовании получили -71ученик из них 11 с отличием.</w:t>
      </w:r>
    </w:p>
    <w:p w:rsidR="00822C3B" w:rsidRPr="00822333" w:rsidRDefault="00822C3B" w:rsidP="003126BE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822333">
        <w:rPr>
          <w:rFonts w:ascii="Times New Roman" w:hAnsi="Times New Roman"/>
          <w:sz w:val="24"/>
          <w:szCs w:val="24"/>
        </w:rPr>
        <w:t>К сожалению, большое волнение вызывают 2 ученика, которые по результатам ГИА за курс основного общего образования оставлены на осеннюю пересдачу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333">
        <w:rPr>
          <w:rFonts w:ascii="Times New Roman" w:hAnsi="Times New Roman"/>
          <w:sz w:val="24"/>
          <w:szCs w:val="24"/>
        </w:rPr>
        <w:t>связи с неудовлетворительными результатами (по английскому языку и истории). Данный факт свидетельствует о не продуманном выборе учениками предметов по выбору, учителям-предметникам обратить внимание на данный факт и более серьезно относиться к этому вопросу.</w:t>
      </w:r>
    </w:p>
    <w:p w:rsidR="00822C3B" w:rsidRPr="00822333" w:rsidRDefault="00822C3B" w:rsidP="003126BE">
      <w:pPr>
        <w:pStyle w:val="a3"/>
        <w:ind w:left="-851" w:firstLine="426"/>
        <w:jc w:val="both"/>
        <w:rPr>
          <w:rFonts w:ascii="Times New Roman" w:hAnsi="Times New Roman"/>
          <w:sz w:val="24"/>
          <w:szCs w:val="24"/>
        </w:rPr>
      </w:pPr>
    </w:p>
    <w:p w:rsidR="00822C3B" w:rsidRDefault="00822C3B" w:rsidP="003126BE">
      <w:pPr>
        <w:ind w:left="-85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Государственная итоговая аттестация выпускников </w:t>
      </w:r>
      <w:r w:rsidRPr="00387641">
        <w:rPr>
          <w:b/>
          <w:color w:val="000000"/>
          <w:szCs w:val="28"/>
        </w:rPr>
        <w:t xml:space="preserve"> 11 класса.</w:t>
      </w:r>
      <w:r>
        <w:rPr>
          <w:color w:val="000000"/>
          <w:szCs w:val="28"/>
        </w:rPr>
        <w:t xml:space="preserve"> </w:t>
      </w:r>
    </w:p>
    <w:p w:rsidR="00822C3B" w:rsidRPr="00387641" w:rsidRDefault="00822C3B" w:rsidP="003126BE">
      <w:pPr>
        <w:ind w:left="-851"/>
        <w:jc w:val="both"/>
        <w:rPr>
          <w:color w:val="000000"/>
          <w:szCs w:val="28"/>
        </w:rPr>
      </w:pPr>
      <w:r>
        <w:rPr>
          <w:color w:val="000000"/>
          <w:szCs w:val="28"/>
        </w:rPr>
        <w:t>33 ученика</w:t>
      </w:r>
      <w:r w:rsidRPr="00011D12">
        <w:rPr>
          <w:color w:val="000000"/>
          <w:szCs w:val="28"/>
        </w:rPr>
        <w:t xml:space="preserve"> окончили 11 класс</w:t>
      </w:r>
      <w:r>
        <w:rPr>
          <w:color w:val="000000"/>
          <w:szCs w:val="28"/>
        </w:rPr>
        <w:t>. Б</w:t>
      </w:r>
      <w:r w:rsidRPr="00011D12">
        <w:rPr>
          <w:color w:val="000000"/>
          <w:szCs w:val="28"/>
        </w:rPr>
        <w:t>ыли допу</w:t>
      </w:r>
      <w:r>
        <w:rPr>
          <w:color w:val="000000"/>
          <w:szCs w:val="28"/>
        </w:rPr>
        <w:t xml:space="preserve">щены к итоговой аттестации – 33 человека в форме ЕГЭ. </w:t>
      </w:r>
      <w:r w:rsidRPr="00011D12">
        <w:rPr>
          <w:color w:val="000000"/>
          <w:szCs w:val="28"/>
        </w:rPr>
        <w:t>Успешно прошли аттестацию и получ</w:t>
      </w:r>
      <w:r>
        <w:rPr>
          <w:color w:val="000000"/>
          <w:szCs w:val="28"/>
        </w:rPr>
        <w:t xml:space="preserve">или аттестат о среднем </w:t>
      </w:r>
      <w:r w:rsidRPr="00011D12">
        <w:rPr>
          <w:color w:val="000000"/>
          <w:szCs w:val="28"/>
        </w:rPr>
        <w:t xml:space="preserve">общем образовании </w:t>
      </w:r>
      <w:r>
        <w:rPr>
          <w:color w:val="000000"/>
          <w:szCs w:val="28"/>
        </w:rPr>
        <w:t>-</w:t>
      </w:r>
      <w:r>
        <w:rPr>
          <w:szCs w:val="28"/>
        </w:rPr>
        <w:t xml:space="preserve">33 </w:t>
      </w:r>
      <w:r w:rsidRPr="00BA7383">
        <w:rPr>
          <w:szCs w:val="28"/>
        </w:rPr>
        <w:t>в</w:t>
      </w:r>
      <w:r>
        <w:rPr>
          <w:color w:val="000000"/>
          <w:szCs w:val="28"/>
        </w:rPr>
        <w:t>ыпускника</w:t>
      </w:r>
      <w:r w:rsidRPr="00166B01">
        <w:rPr>
          <w:szCs w:val="28"/>
        </w:rPr>
        <w:t>. С</w:t>
      </w:r>
      <w:r>
        <w:t xml:space="preserve"> медалью «За особые успехи в учении» учебный год закончили 7</w:t>
      </w:r>
      <w:r w:rsidRPr="00CF4D4A">
        <w:t xml:space="preserve"> учащихся.</w:t>
      </w:r>
      <w:r>
        <w:t xml:space="preserve"> Похвальными грамотами «</w:t>
      </w:r>
      <w:r w:rsidRPr="00CF4D4A">
        <w:t>За особые успехи в изучении отд</w:t>
      </w:r>
      <w:r>
        <w:t xml:space="preserve">ельных предметов» награждены- </w:t>
      </w:r>
      <w:r w:rsidRPr="00B76742">
        <w:t>4 ученика.</w:t>
      </w:r>
    </w:p>
    <w:p w:rsidR="00822C3B" w:rsidRDefault="00822C3B" w:rsidP="00822C3B">
      <w:pPr>
        <w:ind w:firstLine="284"/>
        <w:jc w:val="center"/>
        <w:rPr>
          <w:b/>
          <w:color w:val="000000"/>
          <w:szCs w:val="28"/>
        </w:rPr>
      </w:pPr>
    </w:p>
    <w:p w:rsidR="00822C3B" w:rsidRPr="0059074C" w:rsidRDefault="00822C3B" w:rsidP="00822C3B">
      <w:pPr>
        <w:ind w:firstLine="284"/>
        <w:jc w:val="center"/>
        <w:rPr>
          <w:b/>
          <w:color w:val="000000"/>
          <w:szCs w:val="28"/>
        </w:rPr>
      </w:pPr>
      <w:r w:rsidRPr="0059074C">
        <w:rPr>
          <w:b/>
          <w:color w:val="000000"/>
          <w:szCs w:val="28"/>
        </w:rPr>
        <w:t>Итоговая аттестация в 11-х классах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165"/>
        <w:gridCol w:w="1165"/>
        <w:gridCol w:w="1228"/>
        <w:gridCol w:w="1259"/>
        <w:gridCol w:w="1165"/>
        <w:gridCol w:w="1230"/>
        <w:gridCol w:w="1228"/>
      </w:tblGrid>
      <w:tr w:rsidR="00822C3B" w:rsidRPr="00DB7A6A" w:rsidTr="00BC6A90">
        <w:trPr>
          <w:trHeight w:val="137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</w:t>
            </w:r>
          </w:p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классов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медалей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 окончивших на «4 и 5»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учащихся, не допущенных к итоговой аттестации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 сдававших в щадящем режиме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учащихся, получивших аттестат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rPr>
                <w:color w:val="000000"/>
                <w:sz w:val="20"/>
                <w:szCs w:val="28"/>
              </w:rPr>
            </w:pPr>
            <w:r w:rsidRPr="00DB7A6A">
              <w:rPr>
                <w:color w:val="000000"/>
                <w:sz w:val="20"/>
                <w:szCs w:val="28"/>
              </w:rPr>
              <w:t>Количество учащихся, окончивших среднюю школу со справкой</w:t>
            </w:r>
          </w:p>
        </w:tc>
      </w:tr>
      <w:tr w:rsidR="00822C3B" w:rsidRPr="00DB7A6A" w:rsidTr="00BC6A90">
        <w:trPr>
          <w:trHeight w:val="49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AE61FE" w:rsidRDefault="00822C3B" w:rsidP="00BC6A90">
            <w:pPr>
              <w:ind w:firstLine="284"/>
              <w:jc w:val="center"/>
              <w:rPr>
                <w:szCs w:val="28"/>
              </w:rPr>
            </w:pPr>
            <w:r w:rsidRPr="00AE61FE">
              <w:rPr>
                <w:szCs w:val="28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 w:rsidRPr="00DB7A6A">
              <w:rPr>
                <w:szCs w:val="28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 w:rsidRPr="00DB7A6A">
              <w:rPr>
                <w:szCs w:val="28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 w:rsidRPr="00DB7A6A">
              <w:rPr>
                <w:szCs w:val="28"/>
              </w:rPr>
              <w:t>-</w:t>
            </w:r>
          </w:p>
        </w:tc>
      </w:tr>
    </w:tbl>
    <w:p w:rsidR="00822C3B" w:rsidRDefault="00822C3B" w:rsidP="00822C3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Результаты итоговой аттестации 11 классы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1842"/>
        <w:gridCol w:w="1854"/>
        <w:gridCol w:w="2184"/>
        <w:gridCol w:w="1843"/>
      </w:tblGrid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Уч-ся сдавало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лицею</w:t>
            </w:r>
          </w:p>
        </w:tc>
        <w:tc>
          <w:tcPr>
            <w:tcW w:w="218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  <w:tc>
          <w:tcPr>
            <w:tcW w:w="1843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Средний балл по РМ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tabs>
                <w:tab w:val="center" w:pos="8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22C3B" w:rsidRPr="00A442DA" w:rsidTr="00BC6A90">
        <w:tc>
          <w:tcPr>
            <w:tcW w:w="2058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25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22C3B" w:rsidRPr="00533255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184" w:type="dxa"/>
            <w:shd w:val="clear" w:color="auto" w:fill="auto"/>
          </w:tcPr>
          <w:p w:rsidR="00822C3B" w:rsidRPr="00822333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33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822C3B" w:rsidRPr="00F35F7F" w:rsidRDefault="00822C3B" w:rsidP="00BC6A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7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822C3B" w:rsidRDefault="00822C3B" w:rsidP="00822C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26BE" w:rsidRDefault="003126BE" w:rsidP="00822C3B">
      <w:pPr>
        <w:ind w:firstLine="284"/>
        <w:jc w:val="both"/>
        <w:rPr>
          <w:b/>
          <w:szCs w:val="28"/>
        </w:rPr>
      </w:pPr>
      <w:bookmarkStart w:id="0" w:name="_GoBack"/>
    </w:p>
    <w:p w:rsidR="00822C3B" w:rsidRDefault="00822C3B" w:rsidP="00822C3B">
      <w:pPr>
        <w:ind w:firstLine="28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9010C5">
        <w:rPr>
          <w:b/>
          <w:szCs w:val="28"/>
        </w:rPr>
        <w:t>Количество учащихся, которые не набрали минимальное количество баллов</w:t>
      </w:r>
    </w:p>
    <w:p w:rsidR="00822C3B" w:rsidRPr="00AA0151" w:rsidRDefault="00822C3B" w:rsidP="00822C3B">
      <w:pPr>
        <w:ind w:firstLine="284"/>
        <w:jc w:val="both"/>
        <w:rPr>
          <w:szCs w:val="28"/>
        </w:rPr>
      </w:pPr>
    </w:p>
    <w:tbl>
      <w:tblPr>
        <w:tblW w:w="47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3627"/>
        <w:gridCol w:w="2727"/>
      </w:tblGrid>
      <w:tr w:rsidR="00822C3B" w:rsidRPr="00DB7A6A" w:rsidTr="00BC6A90">
        <w:trPr>
          <w:trHeight w:val="689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both"/>
              <w:rPr>
                <w:color w:val="000000"/>
                <w:szCs w:val="28"/>
              </w:rPr>
            </w:pPr>
            <w:r w:rsidRPr="00DB7A6A">
              <w:rPr>
                <w:color w:val="000000"/>
                <w:szCs w:val="28"/>
              </w:rPr>
              <w:t xml:space="preserve">Предмет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 w:rsidRPr="00DB7A6A">
              <w:rPr>
                <w:color w:val="000000"/>
                <w:szCs w:val="28"/>
              </w:rPr>
              <w:t>Количество сдававших ЕГЭ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Учащиеся, не набравшие минимальное количество баллов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2C3B" w:rsidRPr="003A428E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 w:rsidRPr="00DB7A6A">
              <w:rPr>
                <w:color w:val="000000"/>
                <w:szCs w:val="28"/>
              </w:rPr>
              <w:t xml:space="preserve">География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3A428E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 w:rsidRPr="00DB7A6A">
              <w:rPr>
                <w:color w:val="000000"/>
                <w:szCs w:val="28"/>
              </w:rPr>
              <w:t xml:space="preserve">Физика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 w:rsidRPr="00DB7A6A">
              <w:rPr>
                <w:color w:val="000000"/>
                <w:szCs w:val="28"/>
              </w:rPr>
              <w:t xml:space="preserve">Обществознание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Биология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Pr="00DB7A6A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tabs>
                <w:tab w:val="center" w:pos="1766"/>
                <w:tab w:val="left" w:pos="2265"/>
              </w:tabs>
              <w:ind w:firstLine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ab/>
              <w:t xml:space="preserve">       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Литература 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22C3B" w:rsidRPr="00DB7A6A" w:rsidTr="00BC6A90"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Всего: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ind w:firstLine="284"/>
              <w:jc w:val="center"/>
              <w:rPr>
                <w:color w:val="000000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3B" w:rsidRDefault="00822C3B" w:rsidP="00BC6A90">
            <w:pPr>
              <w:ind w:firstLine="28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822C3B" w:rsidRDefault="00822C3B" w:rsidP="00822C3B">
      <w:pPr>
        <w:rPr>
          <w:color w:val="000000"/>
          <w:szCs w:val="28"/>
        </w:rPr>
      </w:pPr>
    </w:p>
    <w:p w:rsidR="00822C3B" w:rsidRPr="004561B9" w:rsidRDefault="00822C3B" w:rsidP="003126BE">
      <w:pPr>
        <w:ind w:left="-851" w:right="-143"/>
        <w:jc w:val="both"/>
      </w:pPr>
      <w:r w:rsidRPr="004561B9">
        <w:t xml:space="preserve">Результаты итоговой аттестации позволяют сделать вывод, что самыми востребованными для сдачи экзамена  по выбору продолжают оставаться предметы  обществознание,   биология и физика, и </w:t>
      </w:r>
      <w:r>
        <w:t>в этом году значительно увеличилось количество учащихся, сдающих ЕГЭ по истории. С</w:t>
      </w:r>
      <w:r w:rsidRPr="004561B9">
        <w:t>редний балл по этим предметам</w:t>
      </w:r>
      <w:r>
        <w:t xml:space="preserve"> на высоком  уровне, выше, чем средний по району. </w:t>
      </w:r>
      <w:r w:rsidRPr="004561B9">
        <w:t xml:space="preserve">Сравнивая результаты, можно отметить, что средний балл по всем предметам в лицее выше, чем средний по району. </w:t>
      </w:r>
      <w:r>
        <w:t>Результаты ЕГЭ 2019</w:t>
      </w:r>
      <w:r w:rsidRPr="004561B9">
        <w:t xml:space="preserve"> в ОУ продемонстрировали объективность выставления оценок учащимся во время пром</w:t>
      </w:r>
      <w:r>
        <w:t xml:space="preserve">ежуточной и итоговой аттестации и нужно отметить, что </w:t>
      </w:r>
      <w:r w:rsidRPr="004561B9">
        <w:t xml:space="preserve"> количество </w:t>
      </w:r>
      <w:proofErr w:type="gramStart"/>
      <w:r w:rsidRPr="004561B9">
        <w:t>учащихся, не набравших минимальное количество баллов</w:t>
      </w:r>
      <w:r>
        <w:t xml:space="preserve">  увеличилось</w:t>
      </w:r>
      <w:proofErr w:type="gramEnd"/>
      <w:r>
        <w:t xml:space="preserve"> незначительно, с 1 до 2 </w:t>
      </w:r>
      <w:r w:rsidRPr="004561B9">
        <w:t xml:space="preserve"> по предметам по</w:t>
      </w:r>
      <w:r>
        <w:t xml:space="preserve"> выбору, что свидетельствует </w:t>
      </w:r>
      <w:r w:rsidRPr="004561B9">
        <w:t xml:space="preserve"> достаточной разъяснительной работе с учащимися о выборе предметов для сдачи  ЕГЭ.</w:t>
      </w:r>
    </w:p>
    <w:p w:rsidR="00822C3B" w:rsidRDefault="00822C3B" w:rsidP="003126BE">
      <w:pPr>
        <w:ind w:left="-851"/>
        <w:jc w:val="both"/>
        <w:rPr>
          <w:color w:val="000000"/>
          <w:szCs w:val="28"/>
        </w:rPr>
      </w:pPr>
    </w:p>
    <w:p w:rsidR="00822C3B" w:rsidRDefault="00822C3B" w:rsidP="00822C3B">
      <w:pPr>
        <w:ind w:firstLine="284"/>
        <w:jc w:val="center"/>
        <w:rPr>
          <w:color w:val="000000"/>
          <w:szCs w:val="28"/>
        </w:rPr>
      </w:pPr>
    </w:p>
    <w:p w:rsidR="00822C3B" w:rsidRDefault="00822C3B" w:rsidP="003126BE">
      <w:pPr>
        <w:jc w:val="center"/>
        <w:rPr>
          <w:color w:val="000000"/>
          <w:szCs w:val="28"/>
        </w:rPr>
      </w:pPr>
      <w:r w:rsidRPr="00694804">
        <w:rPr>
          <w:color w:val="000000"/>
          <w:szCs w:val="28"/>
        </w:rPr>
        <w:t>Сравнительная диаграмма по результатам ЕГЭ з</w:t>
      </w:r>
      <w:r>
        <w:rPr>
          <w:color w:val="000000"/>
          <w:szCs w:val="28"/>
        </w:rPr>
        <w:t>а шесть</w:t>
      </w:r>
      <w:r w:rsidRPr="00694804">
        <w:rPr>
          <w:color w:val="000000"/>
          <w:szCs w:val="28"/>
        </w:rPr>
        <w:t xml:space="preserve"> учебных лет</w:t>
      </w:r>
    </w:p>
    <w:p w:rsidR="00822C3B" w:rsidRDefault="00822C3B" w:rsidP="003126BE">
      <w:pPr>
        <w:jc w:val="center"/>
        <w:rPr>
          <w:color w:val="000000"/>
          <w:szCs w:val="28"/>
        </w:rPr>
      </w:pPr>
    </w:p>
    <w:p w:rsidR="00822C3B" w:rsidRDefault="00822C3B" w:rsidP="003126BE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134100" cy="16573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22C3B" w:rsidRDefault="00822C3B" w:rsidP="00822C3B">
      <w:pPr>
        <w:ind w:firstLine="284"/>
        <w:jc w:val="center"/>
        <w:rPr>
          <w:color w:val="000000"/>
          <w:szCs w:val="28"/>
        </w:rPr>
      </w:pPr>
    </w:p>
    <w:p w:rsidR="00822C3B" w:rsidRPr="007B5DC5" w:rsidRDefault="00822C3B" w:rsidP="00822C3B">
      <w:pPr>
        <w:ind w:firstLine="284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734175" cy="19240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2C3B" w:rsidRDefault="00822C3B" w:rsidP="003126BE">
      <w:pPr>
        <w:ind w:left="-851"/>
        <w:jc w:val="both"/>
        <w:rPr>
          <w:color w:val="000000"/>
          <w:szCs w:val="28"/>
        </w:rPr>
      </w:pPr>
      <w:r w:rsidRPr="00B0484D">
        <w:rPr>
          <w:color w:val="000000"/>
          <w:szCs w:val="28"/>
        </w:rPr>
        <w:lastRenderedPageBreak/>
        <w:t>Данные диаграммы позволяют сделать выво</w:t>
      </w:r>
      <w:r>
        <w:rPr>
          <w:color w:val="000000"/>
          <w:szCs w:val="28"/>
        </w:rPr>
        <w:t xml:space="preserve">д о том, что произошло незначительное снижение  </w:t>
      </w:r>
      <w:r w:rsidRPr="00B0484D">
        <w:rPr>
          <w:color w:val="000000"/>
          <w:szCs w:val="28"/>
        </w:rPr>
        <w:t xml:space="preserve"> среднего балла по сравнени</w:t>
      </w:r>
      <w:r>
        <w:rPr>
          <w:color w:val="000000"/>
          <w:szCs w:val="28"/>
        </w:rPr>
        <w:t xml:space="preserve">ю с прошлым учебным годом  по физике 63(59), химии 71(68) и большое снижение произошло по предметам география 49(38), английский язык 70(44) и  информатика 72(35). Учителям предметникам по этим предметам следует обратить на это внимание и рассмотреть принять план работы по исправлению данного положения. По остальным предметам мы наблюдаем рост по математике 67(63), биологии 66(70), что свидетельствует о повышении  уровня подготовки учащихся к итоговой аттестации. </w:t>
      </w:r>
    </w:p>
    <w:p w:rsidR="00822C3B" w:rsidRPr="00011D12" w:rsidRDefault="00822C3B" w:rsidP="003126BE">
      <w:pPr>
        <w:ind w:left="-851"/>
        <w:jc w:val="both"/>
        <w:rPr>
          <w:color w:val="000000"/>
          <w:szCs w:val="28"/>
        </w:rPr>
      </w:pPr>
      <w:r>
        <w:rPr>
          <w:color w:val="000000"/>
          <w:szCs w:val="28"/>
        </w:rPr>
        <w:t>Таким образом, р</w:t>
      </w:r>
      <w:r w:rsidRPr="00011D12">
        <w:rPr>
          <w:color w:val="000000"/>
          <w:szCs w:val="28"/>
        </w:rPr>
        <w:t>езультаты итого</w:t>
      </w:r>
      <w:r>
        <w:rPr>
          <w:color w:val="000000"/>
          <w:szCs w:val="28"/>
        </w:rPr>
        <w:t>вой аттестации выпускников лицея</w:t>
      </w:r>
      <w:r w:rsidRPr="00011D12">
        <w:rPr>
          <w:color w:val="000000"/>
          <w:szCs w:val="28"/>
        </w:rPr>
        <w:t xml:space="preserve"> свидетельствуют о том, что:</w:t>
      </w:r>
    </w:p>
    <w:p w:rsidR="00822C3B" w:rsidRDefault="00822C3B" w:rsidP="003126BE">
      <w:pPr>
        <w:ind w:left="-851"/>
        <w:jc w:val="both"/>
        <w:rPr>
          <w:color w:val="000000"/>
          <w:szCs w:val="28"/>
        </w:rPr>
      </w:pPr>
      <w:r w:rsidRPr="00011D12">
        <w:rPr>
          <w:color w:val="000000"/>
          <w:szCs w:val="28"/>
        </w:rPr>
        <w:t xml:space="preserve"> - знания выпускников соответствуют требованиям базового уровня образовательного стандарта; </w:t>
      </w:r>
    </w:p>
    <w:p w:rsidR="00822C3B" w:rsidRPr="00011D12" w:rsidRDefault="00822C3B" w:rsidP="003126BE">
      <w:pPr>
        <w:ind w:left="-851"/>
        <w:jc w:val="both"/>
        <w:rPr>
          <w:color w:val="000000"/>
          <w:szCs w:val="28"/>
        </w:rPr>
      </w:pPr>
      <w:r>
        <w:rPr>
          <w:color w:val="000000"/>
          <w:szCs w:val="28"/>
        </w:rPr>
        <w:t>- хорошие результаты показывают профильные предметы, которые изучаются на углубленном уровне;</w:t>
      </w:r>
    </w:p>
    <w:p w:rsidR="00822C3B" w:rsidRDefault="00822C3B" w:rsidP="003126BE">
      <w:pPr>
        <w:ind w:left="-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11D12">
        <w:rPr>
          <w:color w:val="000000"/>
          <w:szCs w:val="28"/>
        </w:rPr>
        <w:t xml:space="preserve">- уровень </w:t>
      </w:r>
      <w:proofErr w:type="spellStart"/>
      <w:r w:rsidRPr="00011D12">
        <w:rPr>
          <w:color w:val="000000"/>
          <w:szCs w:val="28"/>
        </w:rPr>
        <w:t>обученности</w:t>
      </w:r>
      <w:proofErr w:type="spellEnd"/>
      <w:r w:rsidRPr="00011D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учащихся </w:t>
      </w:r>
      <w:r w:rsidRPr="00011D12">
        <w:rPr>
          <w:color w:val="000000"/>
          <w:szCs w:val="28"/>
        </w:rPr>
        <w:t xml:space="preserve"> позволяет выпускникам продолжить образовательный маршрут. </w:t>
      </w:r>
    </w:p>
    <w:p w:rsidR="00822C3B" w:rsidRPr="003C109C" w:rsidRDefault="00822C3B" w:rsidP="003126BE">
      <w:pPr>
        <w:ind w:left="-851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Учителям предметникам на заседаниях МО необходимо провести качественный анализ результатов ГИА, выяснить причины снижения (если они есть) и повышения качества знаний, следует обратить внимание на   выявление пробелов в знаниях учащихся и провести соответствующую работу по формированию навыков грамотности и поисков новых методических  приемов изложения трудных для учащихся вопросов.</w:t>
      </w:r>
      <w:r w:rsidRPr="00011D12">
        <w:rPr>
          <w:color w:val="000000"/>
          <w:szCs w:val="28"/>
        </w:rPr>
        <w:t xml:space="preserve">           </w:t>
      </w:r>
    </w:p>
    <w:bookmarkEnd w:id="0"/>
    <w:p w:rsidR="00822C3B" w:rsidRPr="0035040D" w:rsidRDefault="00822C3B" w:rsidP="003126BE">
      <w:pPr>
        <w:ind w:left="-851"/>
        <w:rPr>
          <w:b/>
        </w:rPr>
      </w:pPr>
      <w:r w:rsidRPr="0035040D">
        <w:rPr>
          <w:b/>
        </w:rPr>
        <w:t>Распределение учащихся 11-х классов</w:t>
      </w:r>
    </w:p>
    <w:p w:rsidR="00822C3B" w:rsidRPr="0035040D" w:rsidRDefault="00822C3B" w:rsidP="003126BE">
      <w:pPr>
        <w:ind w:left="-851"/>
        <w:jc w:val="both"/>
      </w:pPr>
      <w:r>
        <w:t>Всего окончило школу – 33</w:t>
      </w:r>
    </w:p>
    <w:p w:rsidR="00822C3B" w:rsidRPr="0035040D" w:rsidRDefault="00822C3B" w:rsidP="003126BE">
      <w:pPr>
        <w:ind w:left="-851"/>
        <w:jc w:val="both"/>
      </w:pPr>
      <w:r w:rsidRPr="0035040D">
        <w:t>из них:</w:t>
      </w:r>
    </w:p>
    <w:p w:rsidR="00822C3B" w:rsidRPr="00592E04" w:rsidRDefault="00822C3B" w:rsidP="003126BE">
      <w:pPr>
        <w:ind w:left="-851"/>
        <w:jc w:val="both"/>
      </w:pPr>
      <w:r w:rsidRPr="004713D0">
        <w:t xml:space="preserve">Поступили в ВУЗы </w:t>
      </w:r>
      <w:r>
        <w:t>-33</w:t>
      </w:r>
    </w:p>
    <w:p w:rsidR="00822C3B" w:rsidRPr="0035040D" w:rsidRDefault="00822C3B" w:rsidP="003126BE">
      <w:pPr>
        <w:ind w:left="-851"/>
        <w:rPr>
          <w:b/>
        </w:rPr>
      </w:pPr>
      <w:r w:rsidRPr="0035040D">
        <w:rPr>
          <w:b/>
        </w:rPr>
        <w:t>Распределение учащихся 9-х классов</w:t>
      </w:r>
    </w:p>
    <w:p w:rsidR="00822C3B" w:rsidRPr="004713D0" w:rsidRDefault="00822C3B" w:rsidP="003126BE">
      <w:pPr>
        <w:ind w:left="-851"/>
        <w:jc w:val="both"/>
      </w:pPr>
      <w:r>
        <w:t>Всего окончило 9 классов -  73</w:t>
      </w:r>
    </w:p>
    <w:p w:rsidR="00822C3B" w:rsidRPr="004713D0" w:rsidRDefault="00822C3B" w:rsidP="003126BE">
      <w:pPr>
        <w:ind w:left="-851"/>
        <w:jc w:val="both"/>
      </w:pPr>
      <w:r w:rsidRPr="004713D0">
        <w:t>из них:</w:t>
      </w:r>
    </w:p>
    <w:p w:rsidR="00822C3B" w:rsidRPr="004713D0" w:rsidRDefault="00822C3B" w:rsidP="003126BE">
      <w:pPr>
        <w:ind w:left="-851"/>
        <w:jc w:val="both"/>
      </w:pPr>
      <w:r w:rsidRPr="004713D0">
        <w:t>Поступили в 10 кла</w:t>
      </w:r>
      <w:r>
        <w:t>сс  – 39</w:t>
      </w:r>
    </w:p>
    <w:p w:rsidR="00822C3B" w:rsidRDefault="00822C3B" w:rsidP="003126BE">
      <w:pPr>
        <w:ind w:left="-851"/>
        <w:jc w:val="both"/>
      </w:pPr>
      <w:r w:rsidRPr="004713D0">
        <w:t xml:space="preserve">Поступили в техникумы и колледжи – </w:t>
      </w:r>
      <w:r>
        <w:t>32</w:t>
      </w:r>
    </w:p>
    <w:p w:rsidR="00822C3B" w:rsidRPr="0035040D" w:rsidRDefault="00822C3B" w:rsidP="003126BE">
      <w:pPr>
        <w:ind w:left="-851"/>
        <w:jc w:val="both"/>
      </w:pPr>
      <w:proofErr w:type="gramStart"/>
      <w:r>
        <w:t>Оставлены</w:t>
      </w:r>
      <w:proofErr w:type="gramEnd"/>
      <w:r>
        <w:t xml:space="preserve"> на осеннюю пересдачу -2</w:t>
      </w:r>
    </w:p>
    <w:p w:rsidR="00E95B78" w:rsidRDefault="00E95B78" w:rsidP="003126BE">
      <w:pPr>
        <w:ind w:left="-851"/>
      </w:pPr>
    </w:p>
    <w:sectPr w:rsidR="00E95B78" w:rsidSect="00312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3B"/>
    <w:rsid w:val="003126BE"/>
    <w:rsid w:val="00822C3B"/>
    <w:rsid w:val="00E9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C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22C3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2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64037854889635E-2"/>
          <c:y val="9.7560975609756156E-2"/>
          <c:w val="0.84227129337539475"/>
          <c:h val="0.69512195121951248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61</c:v>
                </c:pt>
                <c:pt idx="1">
                  <c:v>47</c:v>
                </c:pt>
                <c:pt idx="2">
                  <c:v>59</c:v>
                </c:pt>
                <c:pt idx="3">
                  <c:v>37</c:v>
                </c:pt>
                <c:pt idx="4">
                  <c:v>49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72</c:v>
                </c:pt>
                <c:pt idx="1">
                  <c:v>55</c:v>
                </c:pt>
                <c:pt idx="2">
                  <c:v>64</c:v>
                </c:pt>
                <c:pt idx="3">
                  <c:v>56</c:v>
                </c:pt>
                <c:pt idx="4">
                  <c:v>65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70</c:v>
                </c:pt>
                <c:pt idx="1">
                  <c:v>49</c:v>
                </c:pt>
                <c:pt idx="2">
                  <c:v>58</c:v>
                </c:pt>
                <c:pt idx="3">
                  <c:v>54</c:v>
                </c:pt>
                <c:pt idx="4">
                  <c:v>58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70</c:v>
                </c:pt>
                <c:pt idx="1">
                  <c:v>50</c:v>
                </c:pt>
                <c:pt idx="2">
                  <c:v>58</c:v>
                </c:pt>
                <c:pt idx="3">
                  <c:v>62</c:v>
                </c:pt>
                <c:pt idx="4">
                  <c:v>59</c:v>
                </c:pt>
              </c:numCache>
            </c:numRef>
          </c:val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75</c:v>
                </c:pt>
                <c:pt idx="1">
                  <c:v>63</c:v>
                </c:pt>
                <c:pt idx="2">
                  <c:v>66</c:v>
                </c:pt>
                <c:pt idx="3">
                  <c:v>60</c:v>
                </c:pt>
                <c:pt idx="4">
                  <c:v>64</c:v>
                </c:pt>
              </c:numCache>
            </c:numRef>
          </c:val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русский яз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обществозн.</c:v>
                </c:pt>
              </c:strCache>
            </c:strRef>
          </c:cat>
          <c:val>
            <c:numRef>
              <c:f>Sheet1!$B$7:$F$7</c:f>
              <c:numCache>
                <c:formatCode>General</c:formatCode>
                <c:ptCount val="5"/>
                <c:pt idx="0">
                  <c:v>72</c:v>
                </c:pt>
                <c:pt idx="1">
                  <c:v>67</c:v>
                </c:pt>
                <c:pt idx="2">
                  <c:v>70</c:v>
                </c:pt>
                <c:pt idx="3">
                  <c:v>63</c:v>
                </c:pt>
                <c:pt idx="4">
                  <c:v>64</c:v>
                </c:pt>
              </c:numCache>
            </c:numRef>
          </c:val>
        </c:ser>
        <c:gapDepth val="0"/>
        <c:shape val="box"/>
        <c:axId val="209117952"/>
        <c:axId val="209120640"/>
        <c:axId val="0"/>
      </c:bar3DChart>
      <c:catAx>
        <c:axId val="2091179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20640"/>
        <c:crosses val="autoZero"/>
        <c:auto val="1"/>
        <c:lblAlgn val="ctr"/>
        <c:lblOffset val="100"/>
        <c:tickLblSkip val="1"/>
        <c:tickMarkSkip val="1"/>
      </c:catAx>
      <c:valAx>
        <c:axId val="209120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1179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378548895899069"/>
          <c:y val="0.15243902439024395"/>
          <c:w val="8.9905362776025316E-2"/>
          <c:h val="0.7012195121951221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172166427546646E-2"/>
          <c:y val="5.693095293781348E-2"/>
          <c:w val="0.80938036210820186"/>
          <c:h val="0.76598581117954334"/>
        </c:manualLayout>
      </c:layout>
      <c:bar3DChart>
        <c:barDir val="col"/>
        <c:grouping val="clustered"/>
        <c:ser>
          <c:idx val="2"/>
          <c:order val="0"/>
          <c:tx>
            <c:strRef>
              <c:f>Sheet1!$A$2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51</c:v>
                </c:pt>
                <c:pt idx="1">
                  <c:v>57</c:v>
                </c:pt>
                <c:pt idx="2">
                  <c:v>42</c:v>
                </c:pt>
                <c:pt idx="3">
                  <c:v>22</c:v>
                </c:pt>
                <c:pt idx="4">
                  <c:v>50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58</c:v>
                </c:pt>
                <c:pt idx="1">
                  <c:v>62</c:v>
                </c:pt>
                <c:pt idx="2">
                  <c:v>68</c:v>
                </c:pt>
                <c:pt idx="3">
                  <c:v>75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58</c:v>
                </c:pt>
                <c:pt idx="1">
                  <c:v>59</c:v>
                </c:pt>
                <c:pt idx="2">
                  <c:v>50</c:v>
                </c:pt>
                <c:pt idx="3">
                  <c:v>70</c:v>
                </c:pt>
                <c:pt idx="4">
                  <c:v>50</c:v>
                </c:pt>
                <c:pt idx="5">
                  <c:v>62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51</c:v>
                </c:pt>
                <c:pt idx="1">
                  <c:v>64</c:v>
                </c:pt>
                <c:pt idx="2">
                  <c:v>40</c:v>
                </c:pt>
                <c:pt idx="3">
                  <c:v>48</c:v>
                </c:pt>
                <c:pt idx="4">
                  <c:v>35</c:v>
                </c:pt>
                <c:pt idx="5">
                  <c:v>55</c:v>
                </c:pt>
              </c:numCache>
            </c:numRef>
          </c:val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63</c:v>
                </c:pt>
                <c:pt idx="1">
                  <c:v>71</c:v>
                </c:pt>
                <c:pt idx="2">
                  <c:v>49</c:v>
                </c:pt>
                <c:pt idx="3">
                  <c:v>70</c:v>
                </c:pt>
                <c:pt idx="4">
                  <c:v>72</c:v>
                </c:pt>
              </c:numCache>
            </c:numRef>
          </c:val>
        </c:ser>
        <c:ser>
          <c:idx val="0"/>
          <c:order val="5"/>
          <c:tx>
            <c:strRef>
              <c:f>Sheet1!$A$7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физика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английский</c:v>
                </c:pt>
                <c:pt idx="4">
                  <c:v>информатика</c:v>
                </c:pt>
                <c:pt idx="5">
                  <c:v>литература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59</c:v>
                </c:pt>
                <c:pt idx="1">
                  <c:v>68</c:v>
                </c:pt>
                <c:pt idx="2">
                  <c:v>38</c:v>
                </c:pt>
                <c:pt idx="3">
                  <c:v>44</c:v>
                </c:pt>
                <c:pt idx="4">
                  <c:v>35</c:v>
                </c:pt>
                <c:pt idx="5">
                  <c:v>45</c:v>
                </c:pt>
              </c:numCache>
            </c:numRef>
          </c:val>
        </c:ser>
        <c:gapDepth val="0"/>
        <c:shape val="box"/>
        <c:axId val="209521664"/>
        <c:axId val="209823232"/>
        <c:axId val="0"/>
      </c:bar3DChart>
      <c:catAx>
        <c:axId val="2095216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823232"/>
        <c:crosses val="autoZero"/>
        <c:auto val="1"/>
        <c:lblAlgn val="ctr"/>
        <c:lblOffset val="100"/>
        <c:tickLblSkip val="1"/>
        <c:tickMarkSkip val="1"/>
      </c:catAx>
      <c:valAx>
        <c:axId val="2098232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521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024728344600498"/>
          <c:y val="0.17012187832956518"/>
          <c:w val="8.1779053084648515E-2"/>
          <c:h val="0.598958333333333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2019-09-17T05:46:00Z</dcterms:created>
  <dcterms:modified xsi:type="dcterms:W3CDTF">2019-09-17T06:05:00Z</dcterms:modified>
</cp:coreProperties>
</file>