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C8" w:rsidRPr="00B410BC" w:rsidRDefault="00650BC8" w:rsidP="00B410BC">
      <w:pPr>
        <w:pStyle w:val="a3"/>
        <w:spacing w:before="90" w:beforeAutospacing="0" w:after="90" w:afterAutospacing="0"/>
        <w:jc w:val="center"/>
        <w:rPr>
          <w:rFonts w:ascii="Arial" w:hAnsi="Arial" w:cs="Arial"/>
          <w:color w:val="212529"/>
        </w:rPr>
      </w:pPr>
      <w:r>
        <w:rPr>
          <w:rFonts w:ascii="var(--bs-font-sans-serif)" w:hAnsi="var(--bs-font-sans-serif)"/>
          <w:b/>
          <w:bCs/>
          <w:color w:val="212529"/>
          <w:sz w:val="36"/>
          <w:szCs w:val="36"/>
        </w:rPr>
        <w:br/>
      </w:r>
      <w:r w:rsidRPr="00B410BC">
        <w:rPr>
          <w:rStyle w:val="a4"/>
          <w:rFonts w:ascii="var(--bs-font-sans-serif)" w:hAnsi="var(--bs-font-sans-serif)"/>
          <w:color w:val="212529"/>
          <w:sz w:val="36"/>
          <w:szCs w:val="36"/>
        </w:rPr>
        <w:t>Конфликты в детском саду и пути их решения</w:t>
      </w:r>
    </w:p>
    <w:p w:rsidR="00650BC8" w:rsidRPr="00B410BC" w:rsidRDefault="00650BC8" w:rsidP="00B410BC">
      <w:pPr>
        <w:pStyle w:val="a3"/>
        <w:spacing w:before="90" w:beforeAutospacing="0" w:after="90" w:afterAutospacing="0"/>
        <w:jc w:val="center"/>
        <w:rPr>
          <w:rFonts w:ascii="Arial" w:hAnsi="Arial" w:cs="Arial"/>
          <w:color w:val="212529"/>
        </w:rPr>
      </w:pPr>
      <w:r w:rsidRPr="00B410BC">
        <w:rPr>
          <w:rStyle w:val="a4"/>
          <w:rFonts w:ascii="var(--bs-font-sans-serif)" w:hAnsi="var(--bs-font-sans-serif)"/>
          <w:color w:val="212529"/>
          <w:sz w:val="36"/>
          <w:szCs w:val="36"/>
        </w:rPr>
        <w:t>Консультация для родителей</w:t>
      </w:r>
    </w:p>
    <w:p w:rsidR="00650BC8" w:rsidRPr="00B410BC" w:rsidRDefault="00650BC8" w:rsidP="00B410BC">
      <w:pPr>
        <w:pStyle w:val="a3"/>
        <w:spacing w:before="90" w:beforeAutospacing="0" w:after="90" w:afterAutospacing="0"/>
        <w:jc w:val="center"/>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xml:space="preserve">                                                                                     Подготовила старший воспитатель – </w:t>
      </w:r>
      <w:proofErr w:type="spellStart"/>
      <w:r w:rsidR="00B410BC" w:rsidRPr="00B410BC">
        <w:rPr>
          <w:color w:val="212529"/>
          <w:sz w:val="27"/>
          <w:szCs w:val="27"/>
        </w:rPr>
        <w:t>Н.Г.Яков</w:t>
      </w:r>
      <w:bookmarkStart w:id="0" w:name="_GoBack"/>
      <w:bookmarkEnd w:id="0"/>
      <w:r w:rsidR="00B410BC" w:rsidRPr="00B410BC">
        <w:rPr>
          <w:color w:val="212529"/>
          <w:sz w:val="27"/>
          <w:szCs w:val="27"/>
        </w:rPr>
        <w:t>кина</w:t>
      </w:r>
      <w:proofErr w:type="spellEnd"/>
    </w:p>
    <w:p w:rsidR="00650BC8" w:rsidRPr="00B410BC" w:rsidRDefault="00650BC8" w:rsidP="00B410BC">
      <w:pPr>
        <w:pStyle w:val="a3"/>
        <w:spacing w:before="90" w:beforeAutospacing="0" w:after="90" w:afterAutospacing="0"/>
        <w:jc w:val="center"/>
        <w:rPr>
          <w:rFonts w:ascii="Arial" w:hAnsi="Arial" w:cs="Arial"/>
          <w:color w:val="212529"/>
        </w:rPr>
      </w:pPr>
      <w:r w:rsidRPr="00B410BC">
        <w:rPr>
          <w:color w:val="212529"/>
          <w:sz w:val="27"/>
          <w:szCs w:val="27"/>
        </w:rPr>
        <w:t>                     </w:t>
      </w:r>
    </w:p>
    <w:p w:rsidR="00650BC8" w:rsidRPr="00B410BC" w:rsidRDefault="00650BC8" w:rsidP="00B410BC">
      <w:pPr>
        <w:pStyle w:val="a3"/>
        <w:spacing w:before="90" w:beforeAutospacing="0" w:after="90" w:afterAutospacing="0"/>
        <w:jc w:val="center"/>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Проблема конфликтов занимает весомое место в отношениях детей с окружающими, несмотря на тонны трудов по детской психологии, педагогическому мастерству, и иной литературы, призванной помочь разобраться в возникающих трудностях. Речь пойдет о взаимоотношениях детей с другими детьми и с воспитателями.</w:t>
      </w:r>
    </w:p>
    <w:p w:rsidR="00650BC8" w:rsidRPr="00B410BC" w:rsidRDefault="00650BC8" w:rsidP="00B410BC">
      <w:pPr>
        <w:pStyle w:val="a3"/>
        <w:spacing w:before="90" w:beforeAutospacing="0" w:after="90" w:afterAutospacing="0"/>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jc w:val="center"/>
        <w:rPr>
          <w:rFonts w:ascii="Arial" w:hAnsi="Arial" w:cs="Arial"/>
          <w:color w:val="212529"/>
        </w:rPr>
      </w:pPr>
      <w:r w:rsidRPr="00B410BC">
        <w:rPr>
          <w:rStyle w:val="a4"/>
          <w:rFonts w:ascii="var(--bs-font-sans-serif)" w:hAnsi="var(--bs-font-sans-serif)"/>
          <w:color w:val="212529"/>
          <w:sz w:val="27"/>
          <w:szCs w:val="27"/>
        </w:rPr>
        <w:t>Проявления конфликтов в детском саду могут быть следующими:</w:t>
      </w:r>
    </w:p>
    <w:p w:rsidR="00650BC8" w:rsidRPr="00B410BC" w:rsidRDefault="00650BC8" w:rsidP="00B410BC">
      <w:pPr>
        <w:pStyle w:val="a3"/>
        <w:spacing w:before="90" w:beforeAutospacing="0" w:after="90" w:afterAutospacing="0"/>
        <w:jc w:val="center"/>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нежелание ребенка, что-либо делать, совершать определенные действия;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желание обладать чем-то, например игрушкой, ведущее к конфликтной ситуации;</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внешнее непокорство режиму, просьбе, требованию;</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отказ от пищи или общения;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проявление агрессии;</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демонстративная капризность;</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xml:space="preserve"> - провоцирующее поведение детей </w:t>
      </w:r>
      <w:proofErr w:type="gramStart"/>
      <w:r w:rsidRPr="00B410BC">
        <w:rPr>
          <w:color w:val="212529"/>
          <w:sz w:val="27"/>
          <w:szCs w:val="27"/>
        </w:rPr>
        <w:t>со</w:t>
      </w:r>
      <w:proofErr w:type="gramEnd"/>
      <w:r w:rsidRPr="00B410BC">
        <w:rPr>
          <w:color w:val="212529"/>
          <w:sz w:val="27"/>
          <w:szCs w:val="27"/>
        </w:rPr>
        <w:t xml:space="preserve"> взрослыми или сверстниками и т.п.</w:t>
      </w:r>
    </w:p>
    <w:p w:rsidR="00650BC8" w:rsidRPr="00B410BC" w:rsidRDefault="00650BC8" w:rsidP="00B410BC">
      <w:pPr>
        <w:pStyle w:val="a3"/>
        <w:spacing w:before="90" w:beforeAutospacing="0" w:after="90" w:afterAutospacing="0"/>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Почвой для </w:t>
      </w:r>
      <w:r w:rsidRPr="00B410BC">
        <w:rPr>
          <w:rStyle w:val="a4"/>
          <w:rFonts w:ascii="var(--bs-font-sans-serif)" w:hAnsi="var(--bs-font-sans-serif)"/>
          <w:color w:val="212529"/>
          <w:sz w:val="27"/>
          <w:szCs w:val="27"/>
        </w:rPr>
        <w:t>"повышенной конфликтности”</w:t>
      </w:r>
      <w:r w:rsidRPr="00B410BC">
        <w:rPr>
          <w:color w:val="212529"/>
          <w:sz w:val="27"/>
          <w:szCs w:val="27"/>
        </w:rPr>
        <w:t> во время возникновения конфликтных ситуаций может быть множество предпосылок, но и их также можно частично рассмотреть, среди них:</w:t>
      </w:r>
    </w:p>
    <w:p w:rsidR="00650BC8" w:rsidRPr="00B410BC" w:rsidRDefault="00650BC8" w:rsidP="00B410BC">
      <w:pPr>
        <w:pStyle w:val="a3"/>
        <w:spacing w:before="90" w:beforeAutospacing="0" w:after="90" w:afterAutospacing="0"/>
        <w:rPr>
          <w:rFonts w:ascii="Arial" w:hAnsi="Arial" w:cs="Arial"/>
          <w:color w:val="212529"/>
        </w:rPr>
      </w:pPr>
      <w:r w:rsidRPr="00B410BC">
        <w:rPr>
          <w:rFonts w:ascii="Arial" w:hAnsi="Arial" w:cs="Arial"/>
          <w:color w:val="212529"/>
        </w:rPr>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особенности индивидуального психического и физического развития;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особенности микроклимата в семье ребенка; - особенности детского мировоззрения;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психологические барьеры и детские страхи;</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неумение (необученность) выполнять определенные действия, например</w:t>
      </w:r>
      <w:proofErr w:type="gramStart"/>
      <w:r w:rsidRPr="00B410BC">
        <w:rPr>
          <w:color w:val="212529"/>
          <w:sz w:val="27"/>
          <w:szCs w:val="27"/>
        </w:rPr>
        <w:t>,</w:t>
      </w:r>
      <w:proofErr w:type="gramEnd"/>
      <w:r w:rsidRPr="00B410BC">
        <w:rPr>
          <w:color w:val="212529"/>
          <w:sz w:val="27"/>
          <w:szCs w:val="27"/>
        </w:rPr>
        <w:t xml:space="preserve"> неумение, застегнуть пуговицу, пользоваться чашкой, мылом и др.;</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физическое состояние детей; - недостаток терпения, толерантность и недостаток профессионализма у педагогов-воспитателей.</w:t>
      </w:r>
    </w:p>
    <w:p w:rsidR="00650BC8" w:rsidRPr="00B410BC" w:rsidRDefault="00650BC8" w:rsidP="00B410BC">
      <w:pPr>
        <w:pStyle w:val="a3"/>
        <w:spacing w:before="90" w:beforeAutospacing="0" w:after="90" w:afterAutospacing="0"/>
        <w:rPr>
          <w:rFonts w:ascii="Arial" w:hAnsi="Arial" w:cs="Arial"/>
          <w:color w:val="212529"/>
        </w:rPr>
      </w:pPr>
      <w:r w:rsidRPr="00B410BC">
        <w:rPr>
          <w:rFonts w:ascii="Arial" w:hAnsi="Arial" w:cs="Arial"/>
          <w:color w:val="212529"/>
        </w:rPr>
        <w:lastRenderedPageBreak/>
        <w:t> </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Чаще всего встречаются два типа психологических конфликтов у детей дошкольного возраста - </w:t>
      </w:r>
      <w:r w:rsidRPr="00B410BC">
        <w:rPr>
          <w:rStyle w:val="a4"/>
          <w:rFonts w:ascii="var(--bs-font-sans-serif)" w:hAnsi="var(--bs-font-sans-serif)"/>
          <w:color w:val="212529"/>
          <w:sz w:val="27"/>
          <w:szCs w:val="27"/>
        </w:rPr>
        <w:t>конфликт в действиях и конфликт в мотивах</w:t>
      </w:r>
      <w:r w:rsidRPr="00B410BC">
        <w:rPr>
          <w:color w:val="212529"/>
          <w:sz w:val="27"/>
          <w:szCs w:val="27"/>
        </w:rPr>
        <w:t>.</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Часто теоретики рассматривают два вида направленности конфликтов: </w:t>
      </w:r>
      <w:r w:rsidRPr="00B410BC">
        <w:rPr>
          <w:rStyle w:val="a4"/>
          <w:rFonts w:ascii="var(--bs-font-sans-serif)" w:hAnsi="var(--bs-font-sans-serif)"/>
          <w:color w:val="212529"/>
          <w:sz w:val="27"/>
          <w:szCs w:val="27"/>
        </w:rPr>
        <w:t>внешний и внутренний.</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Явные внешние конфликты у детей дошкольников вызываются противоречиями, которые возникают во время общения и совместной деятельности. Внешние конфликты возникают в сфере отношений детей, однако, как правило, не овладевают более глубокими межличностными отношениями. Внешние конфликты обладают временным, ситуативным характером и обычно разрешаются самими детьми путем самостоятельного принятия нормы правильности и справедливости. Внешние конфликты часто могут быть полезны, так как они предоставляют ребенку право на ответственность, на самостоятельное решение возникших проблемных ситуаций и выступают регулятором полноценных отношений детей.</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Моделируя конфликтные ситуации в педагогическом процессе можно, задействовать механизм принятия решения и оценки происходящего детьми, что следует рассматривать как одно из средств воспитание нравственности.</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Внутренний психологический конфликт большей частью скрыт от наблюдения, он возникает у дошкольников в условиях их ведущей игровой деятельности. В отличие от внешнего, вызывается возражениями, связанными не с организационной частью деятельности, а с самой деятельностью, с противоречиями между запросами ровесников и объективными возможностями ребенка в игре или противоречиями в мотивах игры ребенка и других детей. Внутренние противоречия не могут преодолеваться детьми без помощи взрослых. В ходе внутренних противоречий притесняется внутренний эмоциональный мир ребенка, его положительное эмоциональное самочувствие, ребенок не может удовлетворить своих потребностей, искажаются личностные отношения, возникает психологическая изоляция от сверстников. Внутренние конфликты отрицательны, они замедляют становление полноценных, гармонических отношений и всестороннее формирование личности.</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Способы и средства разрешения конфликтов в детском саду могут быть следующим:</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необходим анализ педагогом-воспитателем индивидуальных навыков, умений и индивидуального развития каждого ребенка на общем фоне группы.</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Например, очень часто отсутствие определенных навыков у ребенка, воспринимается воспитателями как непослушание, что может привести к предвзятому отношению. В зависимости от сложившейся конфликтной ситуации среди детей (например, если несколько детишек не поделили игрушку), следует предоставить возможность детям проявить решение конфликта в игровой форме или с использованием детского фольклора. Например, часто можно услышать дразнилку из детских уст, как способ относительно "мирного решения ” сложившейся ситуации, вместо ее обострения.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lastRenderedPageBreak/>
        <w:t xml:space="preserve">          Родителям следует уделять время и прилагать усилия для формирования открытого доброжелательно настроенного характера, чему способствуют совместные игры, чтение книг детям, совместная деятельность детей и взрослых. Детям в игровой форме следует моделировать возможные конфликтные ситуации и предлагать верные, с точки зрения морали и общечеловеческих ценностей, способы их решения. Следует применять золотое правило морали </w:t>
      </w:r>
      <w:proofErr w:type="spellStart"/>
      <w:r w:rsidRPr="00B410BC">
        <w:rPr>
          <w:color w:val="212529"/>
          <w:sz w:val="27"/>
          <w:szCs w:val="27"/>
        </w:rPr>
        <w:t>интерпритированно</w:t>
      </w:r>
      <w:proofErr w:type="spellEnd"/>
      <w:r w:rsidRPr="00B410BC">
        <w:rPr>
          <w:color w:val="212529"/>
          <w:sz w:val="27"/>
          <w:szCs w:val="27"/>
        </w:rPr>
        <w:t xml:space="preserve"> для восприятия детьми, подчеркивая моральную пользу от его применения.</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Необходимо полноценное общение родителей и воспитателей, что не только способствует объективному решению конфликтов, но и предотвращает многочисленные конфликтные ситуации в будущем.</w:t>
      </w:r>
    </w:p>
    <w:p w:rsidR="00650BC8" w:rsidRPr="00B410BC" w:rsidRDefault="00650BC8" w:rsidP="00B410BC">
      <w:pPr>
        <w:pStyle w:val="a3"/>
        <w:spacing w:before="90" w:beforeAutospacing="0" w:after="90" w:afterAutospacing="0"/>
        <w:rPr>
          <w:rFonts w:ascii="Arial" w:hAnsi="Arial" w:cs="Arial"/>
          <w:color w:val="212529"/>
        </w:rPr>
      </w:pPr>
      <w:r w:rsidRPr="00B410BC">
        <w:rPr>
          <w:color w:val="212529"/>
          <w:sz w:val="27"/>
          <w:szCs w:val="27"/>
        </w:rPr>
        <w:t>          Верным способом решения многих конфликтов есть заинтересованность общей идеей и общение, когда причина или предмет конфликта становятся незначительны, воспитатель может продемонстрировать детям, преимущества их позитивного выбора, например, в сторону примирения или справедливости в рамках детского восприятия.</w:t>
      </w:r>
    </w:p>
    <w:p w:rsidR="00650BC8" w:rsidRDefault="00650BC8" w:rsidP="00B410BC">
      <w:pPr>
        <w:pStyle w:val="a3"/>
        <w:spacing w:before="90" w:beforeAutospacing="0" w:after="90" w:afterAutospacing="0"/>
        <w:rPr>
          <w:rFonts w:ascii="Arial" w:hAnsi="Arial" w:cs="Arial"/>
          <w:color w:val="212529"/>
        </w:rPr>
      </w:pPr>
      <w:r w:rsidRPr="00B410BC">
        <w:rPr>
          <w:color w:val="212529"/>
          <w:sz w:val="27"/>
          <w:szCs w:val="27"/>
        </w:rPr>
        <w:t>          Совет: практически любой возникший конфликт можно решать эффективными психолого-педагогическими методами, но никогда не следует откладывать решение во времени.</w:t>
      </w:r>
    </w:p>
    <w:p w:rsidR="00560F38" w:rsidRDefault="00B410BC"/>
    <w:sectPr w:rsidR="0056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ar(--bs-font-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60"/>
    <w:rsid w:val="000E5C60"/>
    <w:rsid w:val="00650BC8"/>
    <w:rsid w:val="007C2AB1"/>
    <w:rsid w:val="00B410BC"/>
    <w:rsid w:val="00C6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B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4</cp:revision>
  <dcterms:created xsi:type="dcterms:W3CDTF">2023-04-26T05:20:00Z</dcterms:created>
  <dcterms:modified xsi:type="dcterms:W3CDTF">2023-04-26T06:37:00Z</dcterms:modified>
</cp:coreProperties>
</file>