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40E4" w:rsidRPr="00F91E9E" w:rsidRDefault="00B140E4" w:rsidP="00B140E4">
      <w:pPr>
        <w:jc w:val="center"/>
        <w:rPr>
          <w:b/>
          <w:sz w:val="30"/>
        </w:rPr>
      </w:pPr>
      <w:r w:rsidRPr="00F91E9E">
        <w:rPr>
          <w:b/>
          <w:sz w:val="30"/>
        </w:rPr>
        <w:t>Публичное представление собственного педагогического опыта тренера преподавателя по греко-римской борьбе</w:t>
      </w:r>
    </w:p>
    <w:p w:rsidR="00B140E4" w:rsidRPr="00F91E9E" w:rsidRDefault="00B140E4" w:rsidP="00B140E4">
      <w:pPr>
        <w:jc w:val="center"/>
        <w:rPr>
          <w:b/>
          <w:sz w:val="30"/>
        </w:rPr>
      </w:pPr>
      <w:r w:rsidRPr="00F91E9E">
        <w:rPr>
          <w:b/>
          <w:sz w:val="30"/>
        </w:rPr>
        <w:t>МУДО «СДЮСШ № 4»</w:t>
      </w:r>
    </w:p>
    <w:p w:rsidR="00B140E4" w:rsidRPr="00F91E9E" w:rsidRDefault="00FD2644" w:rsidP="00B140E4">
      <w:pPr>
        <w:jc w:val="center"/>
        <w:rPr>
          <w:b/>
          <w:sz w:val="30"/>
        </w:rPr>
      </w:pPr>
      <w:proofErr w:type="spellStart"/>
      <w:r>
        <w:rPr>
          <w:b/>
          <w:sz w:val="30"/>
        </w:rPr>
        <w:t>Храмова</w:t>
      </w:r>
      <w:proofErr w:type="spellEnd"/>
      <w:r>
        <w:rPr>
          <w:b/>
          <w:sz w:val="30"/>
        </w:rPr>
        <w:t xml:space="preserve"> А.Л.</w:t>
      </w:r>
    </w:p>
    <w:p w:rsidR="00B140E4" w:rsidRPr="00F91E9E" w:rsidRDefault="00B140E4" w:rsidP="00B140E4">
      <w:pPr>
        <w:jc w:val="center"/>
        <w:rPr>
          <w:b/>
          <w:sz w:val="30"/>
        </w:rPr>
      </w:pPr>
    </w:p>
    <w:p w:rsidR="003B08B8" w:rsidRPr="0019426E" w:rsidRDefault="003B08B8" w:rsidP="003B08B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Тема обобщения педагогического опыта</w:t>
      </w:r>
      <w:r w:rsidRPr="0019426E">
        <w:rPr>
          <w:b/>
          <w:sz w:val="28"/>
          <w:szCs w:val="28"/>
        </w:rPr>
        <w:t>:</w:t>
      </w:r>
      <w:r w:rsidRPr="0019426E">
        <w:rPr>
          <w:sz w:val="28"/>
          <w:szCs w:val="28"/>
        </w:rPr>
        <w:t xml:space="preserve"> </w:t>
      </w:r>
      <w:r w:rsidRPr="00F91E9E">
        <w:rPr>
          <w:b/>
          <w:sz w:val="28"/>
          <w:szCs w:val="28"/>
        </w:rPr>
        <w:t>«</w:t>
      </w:r>
      <w:r>
        <w:rPr>
          <w:rStyle w:val="c8"/>
          <w:b/>
          <w:bCs/>
          <w:color w:val="000000"/>
          <w:sz w:val="28"/>
          <w:szCs w:val="28"/>
        </w:rPr>
        <w:t xml:space="preserve">Тактико-техническая подготовка борцов греко-римского стиля 14 – </w:t>
      </w:r>
      <w:r w:rsidR="00FD2644">
        <w:rPr>
          <w:rStyle w:val="c8"/>
          <w:b/>
          <w:bCs/>
          <w:color w:val="000000"/>
          <w:sz w:val="28"/>
          <w:szCs w:val="28"/>
        </w:rPr>
        <w:t>16 лет</w:t>
      </w:r>
      <w:r>
        <w:rPr>
          <w:rStyle w:val="c8"/>
          <w:b/>
          <w:bCs/>
          <w:color w:val="000000"/>
          <w:sz w:val="28"/>
          <w:szCs w:val="28"/>
        </w:rPr>
        <w:t xml:space="preserve"> в соревновательный период»</w:t>
      </w:r>
    </w:p>
    <w:p w:rsidR="003B08B8" w:rsidRDefault="003B08B8" w:rsidP="003B08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3B08B8" w:rsidRPr="00D431C3" w:rsidRDefault="003B08B8" w:rsidP="003B08B8">
      <w:pPr>
        <w:pStyle w:val="a3"/>
        <w:numPr>
          <w:ilvl w:val="0"/>
          <w:numId w:val="5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Введение (тема опыта, сведения об авторе, </w:t>
      </w:r>
      <w:r w:rsidR="00FD2644">
        <w:rPr>
          <w:rFonts w:ascii="Times New Roman" w:eastAsia="Times New Roman" w:hAnsi="Times New Roman" w:cs="Times New Roman"/>
          <w:b/>
          <w:sz w:val="28"/>
          <w:szCs w:val="28"/>
        </w:rPr>
        <w:t>актуальность, основная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идея, теоретическая база, новизна)</w:t>
      </w:r>
    </w:p>
    <w:p w:rsidR="003B08B8" w:rsidRDefault="00FD2644" w:rsidP="00A34B4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Храмов Алексей Леонидович</w:t>
      </w:r>
      <w:r w:rsidR="003B08B8">
        <w:rPr>
          <w:sz w:val="28"/>
          <w:szCs w:val="28"/>
        </w:rPr>
        <w:t xml:space="preserve">, работаю в МУДО «СДЮСШ № 4» тренером-преподавателем </w:t>
      </w:r>
      <w:r>
        <w:rPr>
          <w:sz w:val="28"/>
          <w:szCs w:val="28"/>
        </w:rPr>
        <w:t>с 2001 года</w:t>
      </w:r>
      <w:r w:rsidR="003B08B8">
        <w:rPr>
          <w:sz w:val="28"/>
          <w:szCs w:val="28"/>
        </w:rPr>
        <w:t xml:space="preserve">. Я заинтересован в развитии греко-римской борьбы в Республике Мордовия. Хочу поделиться педагогическим опытом по теме </w:t>
      </w:r>
      <w:r w:rsidR="003B08B8" w:rsidRPr="00E85421">
        <w:rPr>
          <w:sz w:val="28"/>
          <w:szCs w:val="28"/>
        </w:rPr>
        <w:t>«</w:t>
      </w:r>
      <w:r w:rsidR="003B08B8" w:rsidRPr="003B08B8">
        <w:rPr>
          <w:rStyle w:val="c8"/>
          <w:bCs/>
          <w:color w:val="000000"/>
          <w:sz w:val="28"/>
          <w:szCs w:val="28"/>
        </w:rPr>
        <w:t xml:space="preserve">Тактико-техническая подготовка борцов греко-римского стиля 14 – </w:t>
      </w:r>
      <w:r w:rsidRPr="003B08B8">
        <w:rPr>
          <w:rStyle w:val="c8"/>
          <w:bCs/>
          <w:color w:val="000000"/>
          <w:sz w:val="28"/>
          <w:szCs w:val="28"/>
        </w:rPr>
        <w:t>16 лет</w:t>
      </w:r>
      <w:r w:rsidR="003B08B8" w:rsidRPr="003B08B8">
        <w:rPr>
          <w:rStyle w:val="c8"/>
          <w:bCs/>
          <w:color w:val="000000"/>
          <w:sz w:val="28"/>
          <w:szCs w:val="28"/>
        </w:rPr>
        <w:t xml:space="preserve"> в соревновательный период</w:t>
      </w:r>
      <w:r w:rsidR="003B08B8" w:rsidRPr="003B08B8">
        <w:rPr>
          <w:sz w:val="28"/>
          <w:szCs w:val="28"/>
        </w:rPr>
        <w:t>».</w:t>
      </w:r>
    </w:p>
    <w:p w:rsidR="00B140E4" w:rsidRPr="00772FD7" w:rsidRDefault="00FD2644" w:rsidP="00A34B40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="003B08B8" w:rsidRPr="0019426E">
        <w:rPr>
          <w:sz w:val="28"/>
          <w:szCs w:val="28"/>
        </w:rPr>
        <w:t>Спортивная тренировка юного борца</w:t>
      </w:r>
      <w:r w:rsidR="003B08B8" w:rsidRPr="00D431C3">
        <w:rPr>
          <w:sz w:val="28"/>
          <w:szCs w:val="28"/>
        </w:rPr>
        <w:t xml:space="preserve"> </w:t>
      </w:r>
      <w:r w:rsidR="003B08B8">
        <w:rPr>
          <w:sz w:val="28"/>
          <w:szCs w:val="28"/>
        </w:rPr>
        <w:t>в группах базового уровня греко-</w:t>
      </w:r>
      <w:r w:rsidR="003B08B8" w:rsidRPr="0019426E">
        <w:rPr>
          <w:sz w:val="28"/>
          <w:szCs w:val="28"/>
        </w:rPr>
        <w:t>римского стиля явля</w:t>
      </w:r>
      <w:r w:rsidR="003B08B8">
        <w:rPr>
          <w:sz w:val="28"/>
          <w:szCs w:val="28"/>
        </w:rPr>
        <w:t>ется педагогическим процессом,</w:t>
      </w:r>
      <w:r w:rsidR="003B08B8" w:rsidRPr="0019426E">
        <w:rPr>
          <w:sz w:val="28"/>
          <w:szCs w:val="28"/>
        </w:rPr>
        <w:t xml:space="preserve"> включает в себя физическую подготовку, техническую и тактическую подготовку, а именно — овладение техническими навыками, необходимыми в греко-римской борьбе, умение грамотно и правильно строить схватку с разными противниками-борцами, морально-волевую подготовку, с помощью которой происходит воспитание волевых качеств юного спортсмена, необходимых для достижения победы и эффективного проведения технико-тактического действия</w:t>
      </w:r>
      <w:r w:rsidR="003B08B8">
        <w:rPr>
          <w:sz w:val="28"/>
          <w:szCs w:val="28"/>
        </w:rPr>
        <w:t>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Актуальность темы исследования </w:t>
      </w:r>
      <w:r w:rsidR="002F20A0">
        <w:rPr>
          <w:rStyle w:val="c7"/>
          <w:color w:val="000000"/>
          <w:sz w:val="28"/>
          <w:szCs w:val="28"/>
        </w:rPr>
        <w:t>проблемы под</w:t>
      </w:r>
      <w:r>
        <w:rPr>
          <w:rStyle w:val="c7"/>
          <w:color w:val="000000"/>
          <w:sz w:val="28"/>
          <w:szCs w:val="28"/>
        </w:rPr>
        <w:t>готовки борцов греко-римского стиля к соревновательной деятельности в том, что есть разногласия между специалистами. Одни говорят, что следует уделять внимание физической подготовке. Другие, что нужно быть разносторонне подготовленным, особенно нужно повышать технико-тактическое мастерство.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Объект </w:t>
      </w:r>
      <w:r>
        <w:rPr>
          <w:rStyle w:val="c7"/>
          <w:color w:val="000000"/>
          <w:sz w:val="28"/>
          <w:szCs w:val="28"/>
        </w:rPr>
        <w:t>исследования нашей работы – тренировочная и соревновательная деятельность.</w:t>
      </w:r>
      <w:r w:rsidR="002F20A0">
        <w:rPr>
          <w:rStyle w:val="c7"/>
          <w:color w:val="000000"/>
          <w:sz w:val="28"/>
          <w:szCs w:val="28"/>
        </w:rPr>
        <w:t xml:space="preserve"> </w:t>
      </w:r>
      <w:r>
        <w:rPr>
          <w:rStyle w:val="c8"/>
          <w:b/>
          <w:bCs/>
          <w:color w:val="000000"/>
          <w:sz w:val="28"/>
          <w:szCs w:val="28"/>
        </w:rPr>
        <w:t>Предмет – </w:t>
      </w:r>
      <w:r>
        <w:rPr>
          <w:rStyle w:val="c7"/>
          <w:color w:val="000000"/>
          <w:sz w:val="28"/>
          <w:szCs w:val="28"/>
        </w:rPr>
        <w:t>наивысшая готовность борцов Греко-римского стиля в соревновательный период.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Цель </w:t>
      </w:r>
      <w:r>
        <w:rPr>
          <w:rStyle w:val="c7"/>
          <w:color w:val="000000"/>
          <w:sz w:val="28"/>
          <w:szCs w:val="28"/>
        </w:rPr>
        <w:t>- выявить особенности подготовки борцов греко-римского стиля в соревновательный период.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Объект, предмет и цель нашей работы обусловили постановку следующих задач</w:t>
      </w:r>
      <w:r>
        <w:rPr>
          <w:rStyle w:val="c8"/>
          <w:b/>
          <w:bCs/>
          <w:color w:val="000000"/>
          <w:sz w:val="28"/>
          <w:szCs w:val="28"/>
        </w:rPr>
        <w:t> задач: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1. Дать характеристику критического анализа современных тенденций развития греко-римской борьбы.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2. Изучить особенности соревновательной деятельности борца.</w:t>
      </w:r>
    </w:p>
    <w:p w:rsidR="00B140E4" w:rsidRDefault="00B140E4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3. Выявить анализ техники основных приемов и основы тактики борьбы в соревновательной деятельности.</w:t>
      </w:r>
    </w:p>
    <w:p w:rsidR="00B140E4" w:rsidRDefault="002F20A0" w:rsidP="00B140E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   4</w:t>
      </w:r>
      <w:r w:rsidR="00B140E4">
        <w:rPr>
          <w:rStyle w:val="c7"/>
          <w:color w:val="000000"/>
          <w:sz w:val="28"/>
          <w:szCs w:val="28"/>
        </w:rPr>
        <w:t>. Рассмотреть повышение эффективности технической подготовки для оптимизации соревновательной надежности борцов (14-16 лет) на фоне дозированного утомления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 </w:t>
      </w:r>
      <w:r>
        <w:rPr>
          <w:rStyle w:val="c8"/>
          <w:b/>
          <w:bCs/>
          <w:color w:val="000000"/>
          <w:sz w:val="28"/>
          <w:szCs w:val="28"/>
        </w:rPr>
        <w:t>Методологической базой </w:t>
      </w:r>
      <w:r>
        <w:rPr>
          <w:rStyle w:val="c7"/>
          <w:color w:val="000000"/>
          <w:sz w:val="28"/>
          <w:szCs w:val="28"/>
        </w:rPr>
        <w:t>нашего исследования, являются вопросы совершенствования надежности выполнения технических действий в спортивной борьбе, а также повышение уровня спортивных достижений борцов, стабильного выполнения коронных приемов в соревновательном поединке (</w:t>
      </w:r>
      <w:proofErr w:type="spellStart"/>
      <w:r>
        <w:rPr>
          <w:rStyle w:val="c7"/>
          <w:color w:val="000000"/>
          <w:sz w:val="28"/>
          <w:szCs w:val="28"/>
        </w:rPr>
        <w:t>В.М.Игуменов</w:t>
      </w:r>
      <w:proofErr w:type="spellEnd"/>
      <w:r>
        <w:rPr>
          <w:rStyle w:val="c7"/>
          <w:color w:val="000000"/>
          <w:sz w:val="28"/>
          <w:szCs w:val="28"/>
        </w:rPr>
        <w:t xml:space="preserve">, 1992, </w:t>
      </w:r>
      <w:proofErr w:type="spellStart"/>
      <w:r>
        <w:rPr>
          <w:rStyle w:val="c7"/>
          <w:color w:val="000000"/>
          <w:sz w:val="28"/>
          <w:szCs w:val="28"/>
        </w:rPr>
        <w:t>С.Ф.Ионов</w:t>
      </w:r>
      <w:proofErr w:type="spellEnd"/>
      <w:r>
        <w:rPr>
          <w:rStyle w:val="c7"/>
          <w:color w:val="000000"/>
          <w:sz w:val="28"/>
          <w:szCs w:val="28"/>
        </w:rPr>
        <w:t xml:space="preserve">, 1973, </w:t>
      </w:r>
      <w:proofErr w:type="spellStart"/>
      <w:r>
        <w:rPr>
          <w:rStyle w:val="c7"/>
          <w:color w:val="000000"/>
          <w:sz w:val="28"/>
          <w:szCs w:val="28"/>
        </w:rPr>
        <w:t>А.А.Новиков</w:t>
      </w:r>
      <w:proofErr w:type="spellEnd"/>
      <w:r>
        <w:rPr>
          <w:rStyle w:val="c7"/>
          <w:color w:val="000000"/>
          <w:sz w:val="28"/>
          <w:szCs w:val="28"/>
        </w:rPr>
        <w:t xml:space="preserve">, 1963, Ю.А </w:t>
      </w:r>
      <w:proofErr w:type="spellStart"/>
      <w:r>
        <w:rPr>
          <w:rStyle w:val="c7"/>
          <w:color w:val="000000"/>
          <w:sz w:val="28"/>
          <w:szCs w:val="28"/>
        </w:rPr>
        <w:t>Шахмурадов</w:t>
      </w:r>
      <w:proofErr w:type="spellEnd"/>
      <w:r>
        <w:rPr>
          <w:rStyle w:val="c7"/>
          <w:color w:val="000000"/>
          <w:sz w:val="28"/>
          <w:szCs w:val="28"/>
        </w:rPr>
        <w:t xml:space="preserve">, 1976, В.В. </w:t>
      </w:r>
      <w:proofErr w:type="spellStart"/>
      <w:r>
        <w:rPr>
          <w:rStyle w:val="c7"/>
          <w:color w:val="000000"/>
          <w:sz w:val="28"/>
          <w:szCs w:val="28"/>
        </w:rPr>
        <w:t>Шиян</w:t>
      </w:r>
      <w:proofErr w:type="spellEnd"/>
      <w:r>
        <w:rPr>
          <w:rStyle w:val="c7"/>
          <w:color w:val="000000"/>
          <w:sz w:val="28"/>
          <w:szCs w:val="28"/>
        </w:rPr>
        <w:t>, 1998, и др.).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   Организацию системы профессиональной ориентации подробно рассмотрел Г.С. Туманян, 1984; разработку методологии индивидуальной спортивно-технической подготовки в Греко-римской борьбе А.В., </w:t>
      </w:r>
      <w:proofErr w:type="spellStart"/>
      <w:r>
        <w:rPr>
          <w:rStyle w:val="c7"/>
          <w:color w:val="000000"/>
          <w:sz w:val="28"/>
          <w:szCs w:val="28"/>
        </w:rPr>
        <w:t>Еганов</w:t>
      </w:r>
      <w:proofErr w:type="spellEnd"/>
      <w:r>
        <w:rPr>
          <w:rStyle w:val="c7"/>
          <w:color w:val="000000"/>
          <w:sz w:val="28"/>
          <w:szCs w:val="28"/>
        </w:rPr>
        <w:t xml:space="preserve"> 1999; планирование предсоревновательной подготовки В.М. Игуменов, </w:t>
      </w:r>
      <w:proofErr w:type="spellStart"/>
      <w:r>
        <w:rPr>
          <w:rStyle w:val="c7"/>
          <w:color w:val="000000"/>
          <w:sz w:val="28"/>
          <w:szCs w:val="28"/>
        </w:rPr>
        <w:t>В.В.Шиян</w:t>
      </w:r>
      <w:proofErr w:type="spellEnd"/>
      <w:r>
        <w:rPr>
          <w:rStyle w:val="c7"/>
          <w:color w:val="000000"/>
          <w:sz w:val="28"/>
          <w:szCs w:val="28"/>
        </w:rPr>
        <w:t>, 1999 и др.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 xml:space="preserve"> Если учитывать, что в каждом виде спорта оцениваются специфические действия (А.Н. </w:t>
      </w:r>
      <w:proofErr w:type="spellStart"/>
      <w:r>
        <w:rPr>
          <w:rStyle w:val="c7"/>
          <w:color w:val="000000"/>
          <w:sz w:val="28"/>
          <w:szCs w:val="28"/>
        </w:rPr>
        <w:t>Ленц</w:t>
      </w:r>
      <w:proofErr w:type="spellEnd"/>
      <w:r>
        <w:rPr>
          <w:rStyle w:val="c7"/>
          <w:color w:val="000000"/>
          <w:sz w:val="28"/>
          <w:szCs w:val="28"/>
        </w:rPr>
        <w:t xml:space="preserve">, 1972; Г.И. </w:t>
      </w:r>
      <w:proofErr w:type="spellStart"/>
      <w:r>
        <w:rPr>
          <w:rStyle w:val="c7"/>
          <w:color w:val="000000"/>
          <w:sz w:val="28"/>
          <w:szCs w:val="28"/>
        </w:rPr>
        <w:t>Торопин</w:t>
      </w:r>
      <w:proofErr w:type="spellEnd"/>
      <w:r>
        <w:rPr>
          <w:rStyle w:val="c7"/>
          <w:color w:val="000000"/>
          <w:sz w:val="28"/>
          <w:szCs w:val="28"/>
        </w:rPr>
        <w:t xml:space="preserve">, 1984), то в спортивной борьбе соревновательная надежность, прежде всего, должна обеспечиваться составом индивидуальной техники и тактики ее использования (В.М. </w:t>
      </w:r>
      <w:proofErr w:type="spellStart"/>
      <w:r>
        <w:rPr>
          <w:rStyle w:val="c7"/>
          <w:color w:val="000000"/>
          <w:sz w:val="28"/>
          <w:szCs w:val="28"/>
        </w:rPr>
        <w:t>Дъячков</w:t>
      </w:r>
      <w:proofErr w:type="spellEnd"/>
      <w:r>
        <w:rPr>
          <w:rStyle w:val="c7"/>
          <w:color w:val="000000"/>
          <w:sz w:val="28"/>
          <w:szCs w:val="28"/>
        </w:rPr>
        <w:t xml:space="preserve">, 1973; В.М. Дьяков, Н.А. </w:t>
      </w:r>
      <w:proofErr w:type="spellStart"/>
      <w:r>
        <w:rPr>
          <w:rStyle w:val="c7"/>
          <w:color w:val="000000"/>
          <w:sz w:val="28"/>
          <w:szCs w:val="28"/>
        </w:rPr>
        <w:t>Худадов</w:t>
      </w:r>
      <w:proofErr w:type="spellEnd"/>
      <w:r>
        <w:rPr>
          <w:rStyle w:val="c7"/>
          <w:color w:val="000000"/>
          <w:sz w:val="28"/>
          <w:szCs w:val="28"/>
        </w:rPr>
        <w:t>, 1977).</w:t>
      </w:r>
    </w:p>
    <w:p w:rsidR="00B140E4" w:rsidRPr="003B08B8" w:rsidRDefault="003B08B8" w:rsidP="00B140E4">
      <w:pPr>
        <w:shd w:val="clear" w:color="auto" w:fill="FFFFFF"/>
        <w:ind w:firstLine="360"/>
        <w:jc w:val="center"/>
        <w:rPr>
          <w:b/>
          <w:color w:val="000000"/>
          <w:sz w:val="32"/>
          <w:szCs w:val="32"/>
        </w:rPr>
      </w:pPr>
      <w:r w:rsidRPr="003B08B8">
        <w:rPr>
          <w:b/>
          <w:color w:val="000000"/>
          <w:sz w:val="32"/>
          <w:szCs w:val="32"/>
        </w:rPr>
        <w:t>2.Технология опыта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Успешность реализации аргументированно построенной стратегии соревновательной борьбы во многом определяется правилами соревнований.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Начиная с 1970 г. международные правила соревнований по греко-римской и вольной борьбе существенно изменялись и дополнялись не менее восьми раз, что вряд ли можно считать позитивным явлением.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Почти все изменения правил, многократно произведенные за последние 25-30 лет в спортивной борьбе, сделаны в соответствии с оригинальной, но во многом противоречивой «современной соревновательной моделью борца», которую изложил президент ФИЛА [4, c. 123].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Весьма спорна и так называемая соревновательная модель борца, достижение которой, с точки зрения М. </w:t>
      </w:r>
      <w:proofErr w:type="spellStart"/>
      <w:r w:rsidRPr="00B140E4">
        <w:rPr>
          <w:color w:val="000000"/>
          <w:sz w:val="28"/>
          <w:szCs w:val="28"/>
        </w:rPr>
        <w:t>Эрцегана</w:t>
      </w:r>
      <w:proofErr w:type="spellEnd"/>
      <w:r w:rsidRPr="00B140E4">
        <w:rPr>
          <w:color w:val="000000"/>
          <w:sz w:val="28"/>
          <w:szCs w:val="28"/>
        </w:rPr>
        <w:t>, является главной целью тренировки. В число шести основных факторов этой модели автор включил: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высокий уровень выносливости в течение всех поединков;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высокую эффективность и разнообразие приемов в партере и в стойке, что может быть достигнуто только при соответствующей работе над техникой борьбы;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высокий уровень скоростных качеств в сочетании с выносливостью, необходимый для ведения поединка;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наличие фактора риска как необходимого элемента для достижения выдающегося результата;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сильную нервную систему борца при полной концентрации и мобилизации всех возможностей;</w:t>
      </w:r>
    </w:p>
    <w:p w:rsidR="00B140E4" w:rsidRPr="00B140E4" w:rsidRDefault="00B140E4" w:rsidP="00B140E4">
      <w:pPr>
        <w:numPr>
          <w:ilvl w:val="0"/>
          <w:numId w:val="1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построение тактических схем проведения каждого отдельного поединка и соревнования в целом на основе тактики атакующего плана и использования приемов, которые позволяют застать соперника врасплох [23, c. 13].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Даже краткий критический анализ представленной модели борца позволяет обнаружить в ней несколько противоречий.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lastRenderedPageBreak/>
        <w:t>     Во-первых, в этой модели налицо явное превалирование физической подготовленности по отношению к другим сторонам мастерства борцов, причем только в отношении выносливости и быстроты.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Во-вторых, появление в числе ведущих аспектов модели фактора риска как одного из обязательных условий для достижения спортивных результатов борцов вызывает сомнение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В-третьих, в модели явно снижено значение тактики ведения поединков.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В-четвертых, требование автора концепции разнообразия техники владения приемами борьбы носит во многом декларативный характер, поскольку техническое разнообразие довольно редко имеет положительную корреляцию с активностью ведения поединка [4, c. 132].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Наиболее существенным дополнением правил явилось введение положений о женской борьбе, которая по своей сути является разновидностью вольной борьбы с участием женщин-спортсменок. Сразу же были определены границы девяти весовых категорий для женщин, особенности взвешивания участниц, запрещенные приемы, форма одежды и формула поединка (4 мин без перерыва).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Есть в анализируемых правилах и более существенные недостатки. В первую очередь это относилось к введению в состав судейской коллегии должности контролера, который, по сути дела, являлся дополнительным наблюдателем за деятельностью судей с правом вмешательства в ход поединка.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Еще менее аргументированное дополнение проведено в отношении веса борцов тяжелой весовой категории — до 130 кг.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Более резко ограничен правилами соревнований вес спортсменок тяжелой весовой категории в вольной борьбе — до 75 кг. Причем в том же 1991 г. советская федерация борьбы обращалась в ФИЛА с просьбой ввести для женщин еще одну, более тяжелую, весовую категорию — до 85 кг.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Из числа позитивных изменений можно отметить в первую очередь получение атакующим борцом дополнительной оценки в 1 балл при проведении им броска в партере с полным отрывом соперника от ковра. При удержании соперника в положении борцовского «моста» в течение 5 с или более атакующий борец получает 1 дополнительный балл.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Однако большинство других изменений и дополнений правил соревнований, введенных в период с 1992 по 1996 г., имели в целом негативный характер.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Впервые за всю более чем 100-летнюю историю развития современной спортивной борьбы было сокращено количество весовых категорий: у </w:t>
      </w:r>
      <w:proofErr w:type="gramStart"/>
      <w:r w:rsidRPr="00B140E4">
        <w:rPr>
          <w:color w:val="000000"/>
          <w:sz w:val="28"/>
          <w:szCs w:val="28"/>
        </w:rPr>
        <w:t>мужчин  -</w:t>
      </w:r>
      <w:proofErr w:type="gramEnd"/>
      <w:r w:rsidRPr="00B140E4">
        <w:rPr>
          <w:color w:val="000000"/>
          <w:sz w:val="28"/>
          <w:szCs w:val="28"/>
        </w:rPr>
        <w:t xml:space="preserve"> с 10 до 8; у женщин - с 9 до 6 [12, c. 73].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Кому-то из руководителей ФИЛА показалось крайне необходимым, чтобы победивший борец набирал в ходе поединка не менее 3 баллов. Почему-то победа со счетом 1:0,2:0 или 2:1 не устраивала авторов правил, и в этом случае, как и в случае ничейного результата, по истечении основного времени поединка назначалось дополнительное время продолжительностью до 3 мин.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lastRenderedPageBreak/>
        <w:t>Для определения мест по командам предлагается суммировать результаты первых десяти борцов в каждой весовой категории, причем за 1-е место борец получает 10 очков, за 2-е — 9 очков, за 3-е — 8 очков и так далее до 10-го места, дающего 1 очко. Такая система определения командного зачета не стимулирует качества выступления команд [12, c. 69 – 70].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Завершая критический анализ тенденций совершенствования правил соревнований по борьбе, можно отметить, что эти правила, безусловно, нуждаются в дальнейшей разработке и коррекции. Однако такие коррекции должны носить строго аргументированный характер, учитывать объективные закономерности развития спортивной борьбы и способствовать оптимальному совершенствованию этого вида спорта [5, 33].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Вопрос о влиянии классификации техники спортивной борьбы на правила соревнований остается актуальным. Классификация, систематика и терминология призваны отражать эти изменения.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Можно не обращать внимания на то, как приемы называют на практике.  Одно из таких нежелательных явлений происходит у нас на глазах: в учебно-тренировочной практике, соревновательной обстановке и пр. Речь идет о переворотах "накатом".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По-видимому, "накат" был востребован соревновательной практикой как средство преодоления сопротивления борца, находящегося в партере и готового противодействовать многим приемам одновременно.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Один из таких приемов называется очень просто — "переворот накатом захватом руки и туловища", "руки и туловища" (раздельно). Именно в таком виде этот прием появился в арсенале ведущих борцов в середине XX 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 ходе переворотов "накатом" атакующий "срывает" атакуемого с устойчивого стояния и, повернувшись спиной к ковру, занимает положение вдоль его тела под некоторым углом в сторону переворота. Тело атакующего в этой фазе приема представляет собой "путь", "твердую основу", по которой согласно форме приема в целом атакующий катит тело атакуемого (приложение 1). Именно катит, откуда и название — "накат".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Классификация 1959 г. оставила этот вопрос нерешенным. Так, в перечень переворотов "накатом" по классической борьбе были включены приемы "захватом туловища" и "захватом туловища с рукой" (вместе), а в перечне приемов вольной борьбы оказались перевороты с раздельными захватами руки и туловища [4, c. 139 – 142].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В книге «Техника классической борьбы» (М., 1972) В.П. </w:t>
      </w:r>
      <w:proofErr w:type="spellStart"/>
      <w:r w:rsidRPr="00B140E4">
        <w:rPr>
          <w:color w:val="000000"/>
          <w:sz w:val="28"/>
          <w:szCs w:val="28"/>
        </w:rPr>
        <w:t>Кожарский</w:t>
      </w:r>
      <w:proofErr w:type="spellEnd"/>
      <w:r w:rsidRPr="00B140E4">
        <w:rPr>
          <w:color w:val="000000"/>
          <w:sz w:val="28"/>
          <w:szCs w:val="28"/>
        </w:rPr>
        <w:t xml:space="preserve"> и Н.Н. Сорокин сочли необходимым ввести две разновидности проведения переворотов "накатом". Затем они отделили перевороты "накатом", как более цельное техническое действие, от приемов с захватами, сковывающими и жестко предопределяющими действия обоих борцов. К таким захватам относятся "захваты туловища" и "туловища с рукой".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Определим сначала возможные способы переворотов в сторону (на себя) на том участке борьбы, который большинство специалистов слишком </w:t>
      </w:r>
      <w:proofErr w:type="spellStart"/>
      <w:r w:rsidRPr="00B140E4">
        <w:rPr>
          <w:color w:val="000000"/>
          <w:sz w:val="28"/>
          <w:szCs w:val="28"/>
        </w:rPr>
        <w:t>общо</w:t>
      </w:r>
      <w:proofErr w:type="spellEnd"/>
      <w:r w:rsidRPr="00B140E4">
        <w:rPr>
          <w:color w:val="000000"/>
          <w:sz w:val="28"/>
          <w:szCs w:val="28"/>
        </w:rPr>
        <w:t xml:space="preserve"> называют "накатами". Теперь по современным правилам соревнований таких способов три: 1) "через полумост", 2) "через мост", 3) "через лопатки". </w:t>
      </w:r>
      <w:r w:rsidRPr="00B140E4">
        <w:rPr>
          <w:color w:val="000000"/>
          <w:sz w:val="28"/>
          <w:szCs w:val="28"/>
        </w:rPr>
        <w:lastRenderedPageBreak/>
        <w:t>Получилось три способа изменения положения атакуемого борца по отношению к ковру с соответствующими ОДА.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Минимальное использование "прогиба" атакующим граничит с касанием лопатками ковра, что не предусматривалось ни ныне действующей, </w:t>
      </w:r>
      <w:proofErr w:type="gramStart"/>
      <w:r w:rsidRPr="00B140E4">
        <w:rPr>
          <w:color w:val="000000"/>
          <w:sz w:val="28"/>
          <w:szCs w:val="28"/>
        </w:rPr>
        <w:t>ни какой</w:t>
      </w:r>
      <w:proofErr w:type="gramEnd"/>
      <w:r w:rsidRPr="00B140E4">
        <w:rPr>
          <w:color w:val="000000"/>
          <w:sz w:val="28"/>
          <w:szCs w:val="28"/>
        </w:rPr>
        <w:t xml:space="preserve"> другой классификацией техники спортивной борьбы. Такое ОДА следует отнести к группе "скручиванием", безразлично, с каким из указанных захватов.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Таким образом, определены различия между тремя приемами, принадлежащими к трем различным группам классификации. Величина различий основных действий атакующего как естественных признаков деления существенна и надежна. Однако нужно иметь в виду, что признаки типа "полумост", " мост" и степень их применения могут расходиться и сближаться, но они скрыты действиями атакующего как от атакуемого, так и от наблюдателя до момента завершения полной фазы основного действия и формы движения в целом [4, 12].</w:t>
      </w:r>
    </w:p>
    <w:p w:rsidR="00B140E4" w:rsidRPr="003B08B8" w:rsidRDefault="003B08B8" w:rsidP="003B08B8">
      <w:pPr>
        <w:shd w:val="clear" w:color="auto" w:fill="FFFFFF"/>
        <w:ind w:left="360"/>
        <w:jc w:val="center"/>
        <w:rPr>
          <w:b/>
          <w:color w:val="000000"/>
          <w:sz w:val="32"/>
          <w:szCs w:val="32"/>
        </w:rPr>
      </w:pPr>
      <w:r w:rsidRPr="003B08B8">
        <w:rPr>
          <w:b/>
          <w:color w:val="000000"/>
          <w:sz w:val="32"/>
          <w:szCs w:val="32"/>
        </w:rPr>
        <w:t>3.Результативность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Задача соревновательной деятельности — проверка степени совершенства двигательного навыка путем сравнения со степенью его совершенства у других борцов.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Как и любая другая деятельность человека, соревновательная деятельность борца протекает во времени и ограничивается определенным пространством. В соответствии с ними в практике принято различать следующие виды деятельности: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Выполнение элементарных действий (технических и тактических).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схватке.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частях соревнований (предварительной и финальной).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соревновании.</w:t>
      </w:r>
    </w:p>
    <w:p w:rsidR="00B140E4" w:rsidRPr="00B140E4" w:rsidRDefault="00B140E4" w:rsidP="00B140E4">
      <w:pPr>
        <w:numPr>
          <w:ilvl w:val="0"/>
          <w:numId w:val="2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Деятельность борца в совокупности соревнований.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Для понимания содержания соревновательной деятельности борца рассмотрим отдельно соревновательную деятельность различного масштаба [29, c. 121].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Выполнение элементарных действий </w:t>
      </w:r>
      <w:r w:rsidRPr="00B140E4">
        <w:rPr>
          <w:i/>
          <w:iCs/>
          <w:color w:val="000000"/>
          <w:sz w:val="28"/>
          <w:szCs w:val="28"/>
        </w:rPr>
        <w:t>(основа, база соревновательной деятельности)</w:t>
      </w:r>
      <w:r w:rsidRPr="00B140E4">
        <w:rPr>
          <w:b/>
          <w:bCs/>
          <w:color w:val="000000"/>
          <w:sz w:val="28"/>
          <w:szCs w:val="28"/>
        </w:rPr>
        <w:t>.</w:t>
      </w:r>
      <w:r w:rsidRPr="00B140E4">
        <w:rPr>
          <w:color w:val="000000"/>
          <w:sz w:val="28"/>
          <w:szCs w:val="28"/>
        </w:rPr>
        <w:t> Цель соревновательной деятельности борца этого масштаба — выполнить определенные действия, чтобы в соответствии с правилами соревнований получить оценку. Правилами соревнований установлено, что оцениваются технические действия, приемы и защиты. Приемы оцениваются в положительных баллах, защиты — в отрицательных (проигрышных) баллах. Пространство (место) деятельности — часть ковра (середина, край, угол и т.п.). Организует деятельность этого масштаба и руководит ею сам борец в рамках правил. Время деятельности измеряется в секундах [4, c. 156].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Контроль соревновательной деятельности рассматриваемого масштаба осуществляется рядом лиц. В первую очередь — судьями и самим борцом (самоконтроль), а также противником. Во вторую очередь — тренером, товарищами по команде, зрителями. Борец и его противник контролируют </w:t>
      </w:r>
      <w:r w:rsidRPr="00B140E4">
        <w:rPr>
          <w:color w:val="000000"/>
          <w:sz w:val="28"/>
          <w:szCs w:val="28"/>
        </w:rPr>
        <w:lastRenderedPageBreak/>
        <w:t>деятельность на основании собственных ощущений. Судьи осуществляют визуальный контроль с фиксацией действий (оценок) в судейском протоколе. Тренер ведет педагогические наблюдения.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 xml:space="preserve">     Фиксируются все проводимые борцом в соревновании тактико-технические действия и их результаты. После соревнований полученные протоколы наблюдения действий борцов обрабатываются. Имея точные числовые данные, можно установить пропорции затрат времени на предстоящую работу по совершенствованию навыка выполнения тактико-технических действий 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b/>
          <w:bCs/>
          <w:color w:val="000000"/>
          <w:sz w:val="28"/>
          <w:szCs w:val="28"/>
        </w:rPr>
        <w:t> Деятельность борца в схватке</w:t>
      </w:r>
      <w:r w:rsidRPr="00B140E4">
        <w:rPr>
          <w:color w:val="000000"/>
          <w:sz w:val="28"/>
          <w:szCs w:val="28"/>
        </w:rPr>
        <w:t>. Деятельность борца в схватке подчинена цели — обеспечить победу, поражение с меньшим преимуществом противника.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Цель схватки как формы организации деятельности борца в соревновании — проверка навыка ведения борьбы с конкретным противником в определенной ситуации, соотношение уровня подготовленности.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Место соревновательной деятельности — борцовский ковер.</w:t>
      </w:r>
    </w:p>
    <w:p w:rsidR="00B140E4" w:rsidRPr="00B140E4" w:rsidRDefault="00B140E4" w:rsidP="00B140E4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    Организуется деятельность арбитром. Продолжительность деятельности измеряется минутами, начало деятельности — выход на ковер, а конец деятельность — уход с ковра (после объявления результата схватки).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 Основное содержание соревновательной деятельности борца в схватке — выполнение технических и тактических действий или изложенная в предыдущем разделе деятельность меньшего масштаба (выполнение элементарных, базовых) соревновательных действий.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Большую роль в контроле соревновательной деятельности борца в схватке может иметь работа комплексной научной группы (КНР). Регистрация (видео, стенографическая и т.п.) соревновательной деятельности борцов в схватках позволяет более точно выявить достоинства и недостатки навыка.</w:t>
      </w:r>
    </w:p>
    <w:p w:rsidR="00B140E4" w:rsidRPr="00B140E4" w:rsidRDefault="00B140E4" w:rsidP="00B140E4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B140E4">
        <w:rPr>
          <w:color w:val="000000"/>
          <w:sz w:val="28"/>
          <w:szCs w:val="28"/>
        </w:rPr>
        <w:t>Модельные показатели могут служить ориентиром в построении на занятиях тренировочных схваток. Они также дают информацию для построения тактики схваток с вероятными противниками в предстоящих соревнованиях. Таким образом, корректируется навык ведения схваток 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Деятельность борца в соревновании</w:t>
      </w:r>
      <w:r>
        <w:rPr>
          <w:rStyle w:val="c7"/>
          <w:color w:val="000000"/>
          <w:sz w:val="28"/>
          <w:szCs w:val="28"/>
        </w:rPr>
        <w:t>. Основная цель деятельности борца в отдельном соревновании — занять определенное (высокое) место среди всех участников своей весовой категории. Обычно каждый борец стремится занять первое или в крайнем случае — призовое место.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Место деятельности — город, территория, где расположено спортивное сооружение для проведения соревнования.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Начало деятельности — отъезд на соревнование. Конец деятельности данного масштаба — приезд с соревнований. Если соревнование проводится без выезда в другой город, то его началом можно считать первый день.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личных соревнованиях определяется степень совершенства навыка борьбы каждого борца, в командных — совершенство навыка борьбы коллектива.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Основной деятельностью борца данного масштаба следует считать его деятельность в частях соревнования (предварительной, финальной) [29, c. 151].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Вспомогательная деятельность включает в себя значительный объем действий, который можно разбить на части: деятельность до отъезда, во время переезда, после приезда в город, где проводятся соревнования, в промежутках между частями соревнования, после окончания соревнований, отъезд с соревнований.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соревновании используют следующие виды контроля: официальный, самоконтроль, педагогический, врачебный, научный.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Официальный контроль обеспечивается мандатной комиссией и судьями. Мандатная комиссия определяет соответствие подготовленности борца и его принадлежность к данному спортивному обществу.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Судейская коллегия на основании результатов взвешивания обеспечивает допуск борца к участию в соревновании с борцами определенной весовой категории, проводит жеребьевку.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Самоконтроль проводит сам борец.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Педагогический контроль обеспечивается тренером, который обращает особое внимание на своевременную адаптацию борцов к условиям соревнований.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Врачебный контроль осуществляется врачом, который проводит медицинские обследования состояния здоровья перед допуском к соревнованиям и во время взвешивания.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Научный контроль осуществляется КНГ в период подготовки к соревнованию. Внимание КНГ направлено на основную деятельность.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После соревнования КНГ делает долгосрочный прогноз, указывает средства и методы тренировочной деятельности или на более длительный срок.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КНГ дает рекомендации тренеру и по построению тренировки в условиях, которые будут соответствовать условиям предстоящих соревнований. Наибольшая нагрузка в тренировке планируется в те дни, когда борец будет участвовать в схватках [29, c. 172].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Многолетняя соревновательная деятельность</w:t>
      </w:r>
      <w:r>
        <w:rPr>
          <w:rStyle w:val="c7"/>
          <w:color w:val="000000"/>
          <w:sz w:val="28"/>
          <w:szCs w:val="28"/>
        </w:rPr>
        <w:t>. Цель деятельности — добиться наивысшего спортивного результата и наивысшей квалификации.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Продолжительность деятельности измеряется годами. Начало — это участие борца в первом соревновании, окончание — в последнем.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Место деятельности — мир, страна, сборная команда, общество, спортивный коллектив. Спортивная деятельность на этом уровне организуется Госкомспортом, федерацией. Она может изменяться и распределяться по этапам, имеющим меньшую продолжительность и свое место деятельности. Эти масштабы принято называть циклами: олимпийским, годичным и др.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Степень совершенства навыка оценивается на этом этапе соревновательной деятельности разрядами и спортивными званиями (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кмс</w:t>
      </w:r>
      <w:proofErr w:type="spellEnd"/>
      <w:r>
        <w:rPr>
          <w:rStyle w:val="c7"/>
          <w:color w:val="000000"/>
          <w:sz w:val="28"/>
          <w:szCs w:val="28"/>
        </w:rPr>
        <w:t xml:space="preserve">, </w:t>
      </w:r>
      <w:proofErr w:type="spellStart"/>
      <w:r>
        <w:rPr>
          <w:rStyle w:val="c7"/>
          <w:color w:val="000000"/>
          <w:sz w:val="28"/>
          <w:szCs w:val="28"/>
        </w:rPr>
        <w:t>змс</w:t>
      </w:r>
      <w:proofErr w:type="spellEnd"/>
      <w:r>
        <w:rPr>
          <w:rStyle w:val="c7"/>
          <w:color w:val="000000"/>
          <w:sz w:val="28"/>
          <w:szCs w:val="28"/>
        </w:rPr>
        <w:t>).</w:t>
      </w:r>
    </w:p>
    <w:p w:rsidR="00B140E4" w:rsidRDefault="00B140E4" w:rsidP="00B140E4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Наряду с перечисленными выше видами контроля в многолетней соревновательной деятельности большую роль начинает играть </w:t>
      </w:r>
      <w:r>
        <w:rPr>
          <w:rStyle w:val="c7"/>
          <w:color w:val="000000"/>
          <w:sz w:val="28"/>
          <w:szCs w:val="28"/>
        </w:rPr>
        <w:lastRenderedPageBreak/>
        <w:t>государственный контроль. Спортивное мастерство борца определяется критериями и нормами Единой спортивной классификации. Государственные и общественные органы (спорткомитет и федерации) присваивают разряды и звания в соответствии с выполнением борцом определенных норм и требований.</w:t>
      </w:r>
    </w:p>
    <w:p w:rsidR="002F20A0" w:rsidRDefault="002F20A0" w:rsidP="002F20A0">
      <w:pPr>
        <w:pStyle w:val="c19"/>
        <w:shd w:val="clear" w:color="auto" w:fill="FFFFFF"/>
        <w:spacing w:before="0" w:beforeAutospacing="0" w:after="0" w:afterAutospacing="0"/>
        <w:ind w:firstLine="36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Анализ техники основных приемов и основы тактики борьбы в соревновательной деятельности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Известно, что спортивное мастерство зависит от уровня развития физических качеств и теоретической подготовленности. Вместе с тем высокий уровень тактико-технической подготовленности является основой мастерства спортсменов и во многом определяет их возможности.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Основной группой являются сбивания с захватами. Они выполняются в наиболее опасную сторону — в сторону спины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Для исследования техники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наряду с общепринятыми методами были применены сконструированные нами трехплоскостная </w:t>
      </w:r>
      <w:proofErr w:type="spellStart"/>
      <w:r>
        <w:rPr>
          <w:rStyle w:val="c7"/>
          <w:color w:val="000000"/>
          <w:sz w:val="28"/>
          <w:szCs w:val="28"/>
        </w:rPr>
        <w:t>тензодинамографическая</w:t>
      </w:r>
      <w:proofErr w:type="spellEnd"/>
      <w:r>
        <w:rPr>
          <w:rStyle w:val="c7"/>
          <w:color w:val="000000"/>
          <w:sz w:val="28"/>
          <w:szCs w:val="28"/>
        </w:rPr>
        <w:t xml:space="preserve"> платформа и тренажерное устройство [17, c. 21].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 исследованию техники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были привлечены 150 борцов высокой квалификации, в том числе 18 </w:t>
      </w:r>
      <w:proofErr w:type="spellStart"/>
      <w:r>
        <w:rPr>
          <w:rStyle w:val="c7"/>
          <w:color w:val="000000"/>
          <w:sz w:val="28"/>
          <w:szCs w:val="28"/>
        </w:rPr>
        <w:t>змс</w:t>
      </w:r>
      <w:proofErr w:type="spellEnd"/>
      <w:r>
        <w:rPr>
          <w:rStyle w:val="c7"/>
          <w:color w:val="000000"/>
          <w:sz w:val="28"/>
          <w:szCs w:val="28"/>
        </w:rPr>
        <w:t xml:space="preserve">, 42 </w:t>
      </w:r>
      <w:proofErr w:type="spellStart"/>
      <w:r>
        <w:rPr>
          <w:rStyle w:val="c7"/>
          <w:color w:val="000000"/>
          <w:sz w:val="28"/>
          <w:szCs w:val="28"/>
        </w:rPr>
        <w:t>мсмк</w:t>
      </w:r>
      <w:proofErr w:type="spellEnd"/>
      <w:r>
        <w:rPr>
          <w:rStyle w:val="c7"/>
          <w:color w:val="000000"/>
          <w:sz w:val="28"/>
          <w:szCs w:val="28"/>
        </w:rPr>
        <w:t xml:space="preserve"> и 90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Анализ техники сбивания захватом позволил определить, что наиболее успешным можно назвать проведение тех технических действий, в процессе выполнения которых атакующие развивали максимальные скорости перемещения звеньев тела к моменту соприкосновения с противником. Соблюдение данных условий позволяло атакующему максимально использовать набранную силу инерции при выполнении основных фаз приемов (II фаза — выведение из равновесия и III фаза — осаживание).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Основная нагрузка при выполнении первой фазы приема (подход и захват) приходится на такие группы мышц, как: икроножная мышца, биоэлектрическая активность (БА) которой составляла 230-270 мВ/мм, что соответствует 30-35% от суммарной БА этой мышцы в приеме; прямая мышца бедра — 80-90 (15-18%); прямая мышца живота — 80-90 (35-45%); дельтовидная (передние пучки) - 200-220(56-65%).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БА этих групп мышц удается зафиксировать уже на 40-150-й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 после подачи сигнала на начало выполнения приема, и продолжается она в течение всей рассматриваемой фазы [8, c. 17].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Другой важной двигательной операцией, включенной в первую фазу приема, является захват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Анализ БА верхних и нижних конечностей, мышц туловища позволил установить наличие согласованности в их действиях. При этом важно отметить, что подобная согласованность, характерная для каждой фазы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>, была отмечена рядом авторов лишь в основной фазе выполнения различного типа бросков (Б.М. Рыбалко, 1967, 1971; В.Г. Олейник, 1971; З.М. Мамедов, 1973; А.А. Новиков, 1974,1985; А.К. Морозов, 1978,1998; и др.) [17, c. 23].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Исключительно важное значение для эффективного выполнения основных (II и III) фаз анализируемых приемов имеет положение атакующего, </w:t>
      </w:r>
      <w:r>
        <w:rPr>
          <w:rStyle w:val="c7"/>
          <w:color w:val="000000"/>
          <w:sz w:val="28"/>
          <w:szCs w:val="28"/>
        </w:rPr>
        <w:lastRenderedPageBreak/>
        <w:t xml:space="preserve">которое он занимал после подхода и </w:t>
      </w:r>
      <w:proofErr w:type="gramStart"/>
      <w:r>
        <w:rPr>
          <w:rStyle w:val="c7"/>
          <w:color w:val="000000"/>
          <w:sz w:val="28"/>
          <w:szCs w:val="28"/>
        </w:rPr>
        <w:t>захвата  (</w:t>
      </w:r>
      <w:proofErr w:type="gramEnd"/>
      <w:r>
        <w:rPr>
          <w:rStyle w:val="c7"/>
          <w:color w:val="000000"/>
          <w:sz w:val="28"/>
          <w:szCs w:val="28"/>
        </w:rPr>
        <w:t xml:space="preserve">стартовое положение). Атакующий после подхода выполнял толчок плечом противника на 15-20 см выше его </w:t>
      </w:r>
      <w:proofErr w:type="spellStart"/>
      <w:r>
        <w:rPr>
          <w:rStyle w:val="c7"/>
          <w:color w:val="000000"/>
          <w:sz w:val="28"/>
          <w:szCs w:val="28"/>
        </w:rPr>
        <w:t>о.ц.т</w:t>
      </w:r>
      <w:proofErr w:type="spellEnd"/>
      <w:r>
        <w:rPr>
          <w:rStyle w:val="c7"/>
          <w:color w:val="000000"/>
          <w:sz w:val="28"/>
          <w:szCs w:val="28"/>
        </w:rPr>
        <w:t>., а руками захватывал за пояс и рывком тянул назад.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Важное значение в результативности приемов имеет последняя, заключительная, IV фаза. Поскольку действия атакующего в ней часто связаны с изменением положения захвата, важным моментом в процессе изучения и совершенствования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является умение сохранять завоеванное ограничение степени свободы движений противника и его упрочение [29, c. 187].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1. Анализ научно-методической литературы, анкетного опроса, педагогических наблюдений позволил определить, что 75-80% приемов в соревнованиях по греко-римской борьбе составляют переводы, сбивания и броски различными захватами.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2. Оптимальное исходное положение для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— средняя стойка, средняя дистанция.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3. Для эффективного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подготовительную фазу (подход и захват) следует осуществлять за 517 - 612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, выведение из равновесия (II фаза) - за 181-262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; «осаживание» (III фаза) - за 275-368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 xml:space="preserve"> и переворот на лопатки (IV фаза) - за 200 -291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4. Ведущими параметрами, влияющими на эффективность и результативность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>, являются: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а) максимальная скорость перемещения туловища атакующего борца при подходе к противнику (24-28 </w:t>
      </w:r>
      <w:proofErr w:type="spellStart"/>
      <w:r>
        <w:rPr>
          <w:rStyle w:val="c7"/>
          <w:color w:val="000000"/>
          <w:sz w:val="28"/>
          <w:szCs w:val="28"/>
        </w:rPr>
        <w:t>мс</w:t>
      </w:r>
      <w:proofErr w:type="spellEnd"/>
      <w:r>
        <w:rPr>
          <w:rStyle w:val="c7"/>
          <w:color w:val="000000"/>
          <w:sz w:val="28"/>
          <w:szCs w:val="28"/>
        </w:rPr>
        <w:t>);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оптимальное «стартовое положение» атакующего борца перед выполнением основной части приема (II и III фаз);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в) величина финальных усилий в пределах 5,1 -5,7 </w:t>
      </w:r>
      <w:proofErr w:type="spellStart"/>
      <w:r>
        <w:rPr>
          <w:rStyle w:val="c7"/>
          <w:color w:val="000000"/>
          <w:sz w:val="28"/>
          <w:szCs w:val="28"/>
        </w:rPr>
        <w:t>отн</w:t>
      </w:r>
      <w:proofErr w:type="spellEnd"/>
      <w:r>
        <w:rPr>
          <w:rStyle w:val="c7"/>
          <w:color w:val="000000"/>
          <w:sz w:val="28"/>
          <w:szCs w:val="28"/>
        </w:rPr>
        <w:t>. ед. и направление их под углом 67-73° к горизонтали.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5. Эффективному выполнению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способствует быстрый подход к противнику с последующим использованием силы инерции своего. </w:t>
      </w:r>
      <w:r>
        <w:rPr>
          <w:color w:val="000000"/>
          <w:sz w:val="28"/>
          <w:szCs w:val="28"/>
        </w:rPr>
        <w:br/>
      </w:r>
      <w:r>
        <w:rPr>
          <w:rStyle w:val="c7"/>
          <w:color w:val="000000"/>
          <w:sz w:val="28"/>
          <w:szCs w:val="28"/>
        </w:rPr>
        <w:t xml:space="preserve">Между временем выполнения подготовительной части и временем выполнения ос </w:t>
      </w:r>
      <w:proofErr w:type="spellStart"/>
      <w:r>
        <w:rPr>
          <w:rStyle w:val="c7"/>
          <w:color w:val="000000"/>
          <w:sz w:val="28"/>
          <w:szCs w:val="28"/>
        </w:rPr>
        <w:t>новной</w:t>
      </w:r>
      <w:proofErr w:type="spellEnd"/>
      <w:r>
        <w:rPr>
          <w:rStyle w:val="c7"/>
          <w:color w:val="000000"/>
          <w:sz w:val="28"/>
          <w:szCs w:val="28"/>
        </w:rPr>
        <w:t xml:space="preserve"> части (II и III фаз) выявлена тесная корреляция </w:t>
      </w:r>
      <w:proofErr w:type="gramStart"/>
      <w:r>
        <w:rPr>
          <w:rStyle w:val="c7"/>
          <w:color w:val="000000"/>
          <w:sz w:val="28"/>
          <w:szCs w:val="28"/>
        </w:rPr>
        <w:t>( +</w:t>
      </w:r>
      <w:proofErr w:type="gramEnd"/>
      <w:r>
        <w:rPr>
          <w:rStyle w:val="c7"/>
          <w:color w:val="000000"/>
          <w:sz w:val="28"/>
          <w:szCs w:val="28"/>
        </w:rPr>
        <w:t xml:space="preserve"> 0,87).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6. При выполнении сбивания наибольшая БА зарегистрирована у таких мышечных групп, как: икроножная мышца, прямая мышца бедра, прямая мышца живота, двуглавая и трехглавая мышцы плеча, локтевой сгибатель запястья, дельтовидная и большая грудная мышцы.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7. Эффективность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зависит: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а) от высокой согласованности в работе основных групп мышц во всех фазах приема;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от способности быстро переключаться с уступающего режима работы основных групп мышц после выполнения подготовительной части приема на преодолевающий режим при опрокидывании противника на ковер.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8. Дифференцированное воздействие на специфические группы мышц значительно повышает эффективность спортивной техники и наиболее благоприятно сказывается на таких качественных показателях, как скорость перемещения звеньев тела, время выполнения подхода и опрокидывания </w:t>
      </w:r>
      <w:r>
        <w:rPr>
          <w:rStyle w:val="c7"/>
          <w:color w:val="000000"/>
          <w:sz w:val="28"/>
          <w:szCs w:val="28"/>
        </w:rPr>
        <w:lastRenderedPageBreak/>
        <w:t>противника на ковер, усилия по вертикальной и горизонтальной составляющим реакции опоры [4, c. 225].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  Практические рекомендации: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1. При подходе к противнику атакующий должен направлять на него свои усилия под углом 35-40° к горизонтали при выполнении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</w:t>
      </w:r>
      <w:proofErr w:type="gramStart"/>
      <w:r>
        <w:rPr>
          <w:rStyle w:val="c7"/>
          <w:color w:val="000000"/>
          <w:sz w:val="28"/>
          <w:szCs w:val="28"/>
        </w:rPr>
        <w:t>захватами  55</w:t>
      </w:r>
      <w:proofErr w:type="gramEnd"/>
      <w:r>
        <w:rPr>
          <w:rStyle w:val="c7"/>
          <w:color w:val="000000"/>
          <w:sz w:val="28"/>
          <w:szCs w:val="28"/>
        </w:rPr>
        <w:t>-60°.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2. Для эффективного выполнения </w:t>
      </w:r>
      <w:proofErr w:type="spellStart"/>
      <w:r>
        <w:rPr>
          <w:rStyle w:val="c7"/>
          <w:color w:val="000000"/>
          <w:sz w:val="28"/>
          <w:szCs w:val="28"/>
        </w:rPr>
        <w:t>сбиваний</w:t>
      </w:r>
      <w:proofErr w:type="spellEnd"/>
      <w:r>
        <w:rPr>
          <w:rStyle w:val="c7"/>
          <w:color w:val="000000"/>
          <w:sz w:val="28"/>
          <w:szCs w:val="28"/>
        </w:rPr>
        <w:t xml:space="preserve"> атакующему борцу следует: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  а) к моменту соприкосновения с противником занять оптимальное стартовое положение и развить усилия в пределах 3,27-3,56 </w:t>
      </w:r>
      <w:proofErr w:type="spellStart"/>
      <w:r>
        <w:rPr>
          <w:rStyle w:val="c7"/>
          <w:color w:val="000000"/>
          <w:sz w:val="28"/>
          <w:szCs w:val="28"/>
        </w:rPr>
        <w:t>отн</w:t>
      </w:r>
      <w:proofErr w:type="spellEnd"/>
      <w:r>
        <w:rPr>
          <w:rStyle w:val="c7"/>
          <w:color w:val="000000"/>
          <w:sz w:val="28"/>
          <w:szCs w:val="28"/>
        </w:rPr>
        <w:t>. ед.;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б) максимально использовать силу инерции, набранную при подходе, и вес собственного тела, которые позволяют развивать дополнительные величины скорости перемещения.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3. С целью повышения результативности приемов к заключительной (IV) фазе атакующему следует не только сохранить, но и упрочить ограничение свободы действий противника.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4. Использование специальных упражнений, методических приемов и специальных технических средств в учебном процессе позволяет сократить время, повысить качество и эффективность процесса обучения и совершенствования спортсменов и рекомендуется в практику.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5. Сбивания следует осваивать в целом.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  6. Особое внимание в процессе обучения следует уделять освоению стержневых приемов [4, c. 279].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Основы тактики борьбы с позиции теории конфликтной деятельности.</w:t>
      </w:r>
      <w:r>
        <w:rPr>
          <w:rStyle w:val="c7"/>
          <w:color w:val="000000"/>
          <w:sz w:val="28"/>
          <w:szCs w:val="28"/>
        </w:rPr>
        <w:t xml:space="preserve">  В конфликтной ситуации в спортивных единоборствах присутствуют два спортсмена, и, так как их действия направлены друг против друга, возникающие между ними </w:t>
      </w:r>
      <w:proofErr w:type="spellStart"/>
      <w:r>
        <w:rPr>
          <w:rStyle w:val="c7"/>
          <w:color w:val="000000"/>
          <w:sz w:val="28"/>
          <w:szCs w:val="28"/>
        </w:rPr>
        <w:t>межсубъектные</w:t>
      </w:r>
      <w:proofErr w:type="spellEnd"/>
      <w:r>
        <w:rPr>
          <w:rStyle w:val="c7"/>
          <w:color w:val="000000"/>
          <w:sz w:val="28"/>
          <w:szCs w:val="28"/>
        </w:rPr>
        <w:t xml:space="preserve"> отношения являются отрицательными.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Взаимодействие осуществляет для переведения соперника из положения субъекта в конфликте в предмет деятельности, что позволяет осуществить предметное преобразование и получить результат поединка (приложение 2).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Развитие конфликта с позиции </w:t>
      </w:r>
      <w:proofErr w:type="spellStart"/>
      <w:r>
        <w:rPr>
          <w:rStyle w:val="c7"/>
          <w:color w:val="000000"/>
          <w:sz w:val="28"/>
          <w:szCs w:val="28"/>
        </w:rPr>
        <w:t>межсубъектно</w:t>
      </w:r>
      <w:proofErr w:type="spellEnd"/>
      <w:r>
        <w:rPr>
          <w:rStyle w:val="c7"/>
          <w:color w:val="000000"/>
          <w:sz w:val="28"/>
          <w:szCs w:val="28"/>
        </w:rPr>
        <w:t xml:space="preserve">-объектных отношений в спортивной схватке осуществляется в определенной последовательности и </w:t>
      </w:r>
      <w:proofErr w:type="spellStart"/>
      <w:r>
        <w:rPr>
          <w:rStyle w:val="c7"/>
          <w:color w:val="000000"/>
          <w:sz w:val="28"/>
          <w:szCs w:val="28"/>
        </w:rPr>
        <w:t>представленно</w:t>
      </w:r>
      <w:proofErr w:type="spellEnd"/>
      <w:r>
        <w:rPr>
          <w:rStyle w:val="c7"/>
          <w:color w:val="000000"/>
          <w:sz w:val="28"/>
          <w:szCs w:val="28"/>
        </w:rPr>
        <w:t xml:space="preserve"> в приложении 3.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Выбор манеры борьбы зависит от того, с помощью каких аспектов конфликтного взаимодействия борцы стремятся достигнуть победы над соперником (приложение 4).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 зависимости от правил соревнований в каждом виде единоборств преобладают различные манеры ведения борьбы или боя [14, c. 34].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атакующей стратегии</w:t>
      </w:r>
      <w:r>
        <w:rPr>
          <w:rStyle w:val="c7"/>
          <w:color w:val="000000"/>
          <w:sz w:val="28"/>
          <w:szCs w:val="28"/>
        </w:rPr>
        <w:t xml:space="preserve"> борцы могут бороться в следующих манерах: Подавления (силовики); Натиска (тепловики); Атакующего преодоления (действий противника); Атакующего обыгрывания (угрозы, ложные атаки, </w:t>
      </w:r>
      <w:proofErr w:type="spellStart"/>
      <w:r>
        <w:rPr>
          <w:rStyle w:val="c7"/>
          <w:color w:val="000000"/>
          <w:sz w:val="28"/>
          <w:szCs w:val="28"/>
        </w:rPr>
        <w:t>раздергивание</w:t>
      </w:r>
      <w:proofErr w:type="spellEnd"/>
      <w:r>
        <w:rPr>
          <w:rStyle w:val="c7"/>
          <w:color w:val="000000"/>
          <w:sz w:val="28"/>
          <w:szCs w:val="28"/>
        </w:rPr>
        <w:t>)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контратакующей стратегии</w:t>
      </w:r>
      <w:r>
        <w:rPr>
          <w:rStyle w:val="c7"/>
          <w:color w:val="000000"/>
          <w:sz w:val="28"/>
          <w:szCs w:val="28"/>
        </w:rPr>
        <w:t>: Маневренного или позиционного провоцирования; Вызова на опережение или преодоление; Выжидания после защит разрушением иль уходом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В </w:t>
      </w:r>
      <w:r>
        <w:rPr>
          <w:rStyle w:val="c8"/>
          <w:b/>
          <w:bCs/>
          <w:color w:val="000000"/>
          <w:sz w:val="28"/>
          <w:szCs w:val="28"/>
        </w:rPr>
        <w:t>защитной стратегии</w:t>
      </w:r>
      <w:r>
        <w:rPr>
          <w:rStyle w:val="c7"/>
          <w:color w:val="000000"/>
          <w:sz w:val="28"/>
          <w:szCs w:val="28"/>
        </w:rPr>
        <w:t>: Позиционной обороны; Маневренного отступления; Защитного обыгрывания; Обратного преодоления и др.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Для проведения предметного преобразования борцы используют различные механизмы достижения успеха, которые подразделяются на три группы: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Биомеханические</w:t>
      </w:r>
      <w:r>
        <w:rPr>
          <w:rStyle w:val="c7"/>
          <w:color w:val="000000"/>
          <w:sz w:val="28"/>
          <w:szCs w:val="28"/>
        </w:rPr>
        <w:t xml:space="preserve">: создание благоприятных ситуаций технической подготовкой; использование реакции противника на технические подготовки; использование промежуточных действий соперника; использование ухода от защиты; использование защиты как подготовки к атаке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Игровые</w:t>
      </w:r>
      <w:r>
        <w:rPr>
          <w:rStyle w:val="c7"/>
          <w:color w:val="000000"/>
          <w:sz w:val="28"/>
          <w:szCs w:val="28"/>
        </w:rPr>
        <w:t xml:space="preserve">: использование реакции противника на ложные действия; отмена защиты ложными действиями; пауза для демонстрации окончания действия; провоцирование атаки для контратаки; вызов на атаку для контратаки; ложная защита для проведения контратаки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>;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Программные</w:t>
      </w:r>
      <w:r>
        <w:rPr>
          <w:rStyle w:val="c7"/>
          <w:color w:val="000000"/>
          <w:sz w:val="28"/>
          <w:szCs w:val="28"/>
        </w:rPr>
        <w:t xml:space="preserve">: </w:t>
      </w:r>
      <w:proofErr w:type="spellStart"/>
      <w:r>
        <w:rPr>
          <w:rStyle w:val="c7"/>
          <w:color w:val="000000"/>
          <w:sz w:val="28"/>
          <w:szCs w:val="28"/>
        </w:rPr>
        <w:t>микропауза</w:t>
      </w:r>
      <w:proofErr w:type="spellEnd"/>
      <w:r>
        <w:rPr>
          <w:rStyle w:val="c7"/>
          <w:color w:val="000000"/>
          <w:sz w:val="28"/>
          <w:szCs w:val="28"/>
        </w:rPr>
        <w:t xml:space="preserve"> в атаке, контратаке и защите для отмены пусковой реакции или переключения программы действий; пауза с реверсом для остановки проведения защиты и </w:t>
      </w:r>
      <w:proofErr w:type="spellStart"/>
      <w:r>
        <w:rPr>
          <w:rStyle w:val="c7"/>
          <w:color w:val="000000"/>
          <w:sz w:val="28"/>
          <w:szCs w:val="28"/>
        </w:rPr>
        <w:t>др</w:t>
      </w:r>
      <w:proofErr w:type="spellEnd"/>
      <w:r>
        <w:rPr>
          <w:rStyle w:val="c7"/>
          <w:color w:val="000000"/>
          <w:sz w:val="28"/>
          <w:szCs w:val="28"/>
        </w:rPr>
        <w:t xml:space="preserve"> [15, c. 27].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Дальнейшая конкретизация протекания конфликта осуществляется путем перехода от </w:t>
      </w:r>
      <w:proofErr w:type="spellStart"/>
      <w:r>
        <w:rPr>
          <w:rStyle w:val="c7"/>
          <w:color w:val="000000"/>
          <w:sz w:val="28"/>
          <w:szCs w:val="28"/>
        </w:rPr>
        <w:t>межсубъектно</w:t>
      </w:r>
      <w:proofErr w:type="spellEnd"/>
      <w:r>
        <w:rPr>
          <w:rStyle w:val="c7"/>
          <w:color w:val="000000"/>
          <w:sz w:val="28"/>
          <w:szCs w:val="28"/>
        </w:rPr>
        <w:t>-объектной конфликтной структуры к процессуальной конфликтной структуре (приложение 5) и на ее основе — к построению процессуальных моделей (тактико-технических структур) взаимодействия борцов в схватке: в атакующей, контратакующей и защитной стратегиях.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Контактная ситуация</w:t>
      </w:r>
      <w:r>
        <w:rPr>
          <w:rStyle w:val="c7"/>
          <w:color w:val="000000"/>
          <w:sz w:val="28"/>
          <w:szCs w:val="28"/>
        </w:rPr>
        <w:t> — начало взаимодействия борцов друг с другом. Воздействие одного борца на другого — это начало процесса преобразования и противодействия.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контактная ситуация</w:t>
      </w:r>
      <w:r>
        <w:rPr>
          <w:rStyle w:val="c7"/>
          <w:color w:val="000000"/>
          <w:sz w:val="28"/>
          <w:szCs w:val="28"/>
        </w:rPr>
        <w:t> направлена на использование реакции противника для проведения других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Опасная контактная ситуация</w:t>
      </w:r>
      <w:r>
        <w:rPr>
          <w:rStyle w:val="c7"/>
          <w:color w:val="000000"/>
          <w:sz w:val="28"/>
          <w:szCs w:val="28"/>
        </w:rPr>
        <w:t>. Характеризуется большой уязвимостью при проведении противником активных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ситуация начала атаки</w:t>
      </w:r>
      <w:r>
        <w:rPr>
          <w:rStyle w:val="c7"/>
          <w:color w:val="000000"/>
          <w:sz w:val="28"/>
          <w:szCs w:val="28"/>
        </w:rPr>
        <w:t>. Ее создание используется для обыгрывания соперника при проведении тактических подготовок, когда используются действия соперника против угроз.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Ложная критическая ситуация</w:t>
      </w:r>
      <w:r>
        <w:rPr>
          <w:rStyle w:val="c7"/>
          <w:color w:val="000000"/>
          <w:sz w:val="28"/>
          <w:szCs w:val="28"/>
        </w:rPr>
        <w:t> используется для обыгрывания соперника с помощью ложной атаки.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Ситуация начала атаки</w:t>
      </w:r>
      <w:r>
        <w:rPr>
          <w:rStyle w:val="c7"/>
          <w:color w:val="000000"/>
          <w:sz w:val="28"/>
          <w:szCs w:val="28"/>
        </w:rPr>
        <w:t>. Поскольку в системе двух борцов каждый стремится к исключению другого из борьбы, один или оба создают ситуацию начала атаки для дальнейшего воздействия на ее соперника как на объект преобразования.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Критическая ситуация</w:t>
      </w:r>
      <w:r>
        <w:rPr>
          <w:rStyle w:val="c7"/>
          <w:color w:val="000000"/>
          <w:sz w:val="28"/>
          <w:szCs w:val="28"/>
        </w:rPr>
        <w:t>. Результатом оптимального развития атаки является создание критической ситуации, смысл которой в конфликте - наибольшее уменьшение атакующего субъектного потенциала соперника.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  <w:u w:val="single"/>
        </w:rPr>
        <w:t>Опережение действия</w:t>
      </w:r>
      <w:r>
        <w:rPr>
          <w:rStyle w:val="c7"/>
          <w:color w:val="000000"/>
          <w:sz w:val="28"/>
          <w:szCs w:val="28"/>
        </w:rPr>
        <w:t>. Обычно опережение осуществляется для перехода к ситуации начала атаки и реже — к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Простая защитная стратегия осуществляется за счет разрушения, остановки действий соперника или ухода от взаимодействия. Сложная защитная </w:t>
      </w:r>
      <w:r>
        <w:rPr>
          <w:rStyle w:val="c7"/>
          <w:color w:val="000000"/>
          <w:sz w:val="28"/>
          <w:szCs w:val="28"/>
        </w:rPr>
        <w:lastRenderedPageBreak/>
        <w:t>стратегия состоит из упреждающих защит вызовом и провокаций для проведения защитных комбинаций, обыгрывания соперника на защитах [14, c. 37].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Простая атака</w:t>
      </w:r>
      <w:r>
        <w:rPr>
          <w:rStyle w:val="c7"/>
          <w:color w:val="000000"/>
          <w:sz w:val="28"/>
          <w:szCs w:val="28"/>
        </w:rPr>
        <w:t>. В простой атаке выделяются две структуры: атака без подготовки и атака со сменой противником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Атакующее преодоление</w:t>
      </w:r>
      <w:r>
        <w:rPr>
          <w:rStyle w:val="c7"/>
          <w:color w:val="000000"/>
          <w:sz w:val="28"/>
          <w:szCs w:val="28"/>
        </w:rPr>
        <w:t>. В атакующем преодолении зафиксировано две структуры.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Первая — атака с преодолением защиты на подготовке 2,4% при 1,7% оцениваемых структур.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Вторая — атака с преодолением защиты; составляет 8,4% и всегда бывает эффективной [15, c. 31].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Сложная атакующая стратегия поведения</w:t>
      </w:r>
      <w:r>
        <w:rPr>
          <w:rStyle w:val="c7"/>
          <w:color w:val="000000"/>
          <w:sz w:val="28"/>
          <w:szCs w:val="28"/>
        </w:rPr>
        <w:t>. В сложной атакующей стратегии было зарегистрировано 6 структур: ложный контакт; ложный контакт с использованием; угроза; угроза с использованием; ложная атака; ложная атака с использованием.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Контратакующее использование</w:t>
      </w:r>
      <w:r>
        <w:rPr>
          <w:rStyle w:val="c7"/>
          <w:color w:val="000000"/>
          <w:sz w:val="28"/>
          <w:szCs w:val="28"/>
        </w:rPr>
        <w:t>. В контратакующей стратегии с использованием действий противника зафиксировано 6 тактико-технических структур: использование смены контакта для контратаки составило 11,1% от всех используемых структур, из них 7,4% — оцениваемые действия, 3,7% — неоцениваемые.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Эта структура встречается достаточно редко, так как борцы стремятся осуществлять надежные подготовки, которые трудно использовать для контратаки. Неоцененных попыток в этой структуре в 1,5 раза больше, что говорит об опасности использования подготовки к приему для проведения контратаки.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Вызов — использование начала атаки для контратаки — составляет 2% от используемых структур: 0,6% оцениваемых действий.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Тактико-технические структуры с использованием в сумме занимают 21,3% (из них 12,8% — оцениваемые действия). Данные структуры занимают важное место в тактико-техническом арсенале борцов [15, 17].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Контратакующее опережение</w:t>
      </w:r>
      <w:r>
        <w:rPr>
          <w:rStyle w:val="c7"/>
          <w:color w:val="000000"/>
          <w:sz w:val="28"/>
          <w:szCs w:val="28"/>
        </w:rPr>
        <w:t>. В контратакующем опережении действий противника было выделено 7 структур: атака с опережением при смене контакта составляет 3,1%: оцениваемых действий — 1,6%. Часто встречается и структура использования смены контакта для контратаки — 11,1% от всех применяемых структур.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опережением на подготовке составляет 0,2% от оцениваемых структур. Атака с опережением начала атаки встречалась в 1,6% случаев. Эта структура часто используется для выполнения накрывания противника при выполнении бросков.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Начало атаки с опережением на контактной ситуации занимает 0,7% оцениваемых действий, неоцениваемых действий при реализации этой структуры не наблюдалось.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опережением на начало атаки составила 1,2% от всех встречавшихся структур, при этом 1,1% составили оцениваемые и 0,1% — неоцениваемые действия [29, c. 202].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lastRenderedPageBreak/>
        <w:t>Атака с опережением на возвращении после угрозы составляет 1,7% от всех структур (среди них 1,1% оцениваемых действий).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На вызов-атаку с опережением на начало атаки приходится 2,2% (0,6% оцениваемых действий). Она используется в конце схватки, когда соперники устали, но вынуждены проявлять активность из-за угрозы снятия за пассивность.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 </w:t>
      </w:r>
      <w:r>
        <w:rPr>
          <w:rStyle w:val="c8"/>
          <w:b/>
          <w:bCs/>
          <w:color w:val="000000"/>
          <w:sz w:val="28"/>
          <w:szCs w:val="28"/>
        </w:rPr>
        <w:t>контратакующем преодолении </w:t>
      </w:r>
      <w:r>
        <w:rPr>
          <w:rStyle w:val="c7"/>
          <w:color w:val="000000"/>
          <w:sz w:val="28"/>
          <w:szCs w:val="28"/>
        </w:rPr>
        <w:t>выделили три тактико-технических структуры.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преодолением начала атаки составила 2,1%. Все действия — оцениваемые, так как, если контратакующие действия останавливались на уровне защиты, фиксировалась эффективная или неэффективная защита на атаку.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Атака с преодолением критической ситуации встречалась в 1,0% случаев, все действия — оцениваемые.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Тактико-технические структуры с преодолением встречаются достаточно редко: их общее количество составило 5,4% (из них 3,6% — оцениваемые действия). Из этого можно сделать вывод, что встречная борьба является надежной защитой в случае срыва контратаки [4, c. 301].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t>В защитно-контратакующей стратегии</w:t>
      </w:r>
      <w:r>
        <w:rPr>
          <w:rStyle w:val="c7"/>
          <w:color w:val="000000"/>
          <w:sz w:val="28"/>
          <w:szCs w:val="28"/>
        </w:rPr>
        <w:t> было выделено 7 структур. Эти структуры характеризуются переходом борца при помощи защиты от принятия или защиты к активной борьбе.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смены контакта составляет 0,5% оцениваемых структур. Столь небольшое количество зафиксированных структур отражает сложность идентификации экспертами действий борцов при их борьбе за захват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 xml:space="preserve">Контратака после разрушения подготовки составляет 1,4% оцененных структур. Иллюстрацией может служить ситуация, когда атакующий осуществляет захват разноименной рукой для броска </w:t>
      </w:r>
      <w:proofErr w:type="spellStart"/>
      <w:r>
        <w:rPr>
          <w:rStyle w:val="c7"/>
          <w:color w:val="000000"/>
          <w:sz w:val="28"/>
          <w:szCs w:val="28"/>
        </w:rPr>
        <w:t>подворотом</w:t>
      </w:r>
      <w:proofErr w:type="spellEnd"/>
      <w:r>
        <w:rPr>
          <w:rStyle w:val="c7"/>
          <w:color w:val="000000"/>
          <w:sz w:val="28"/>
          <w:szCs w:val="28"/>
        </w:rPr>
        <w:t>, а контратакующий разрушает это действие, проходя в корпус и выполняя сваливание сбиванием.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начала атаки составляет 2,8%: 2,5% оцененных и 0,3% неоцененных действий [4, c. 315].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критической ситуации составила 2,0% из всех оцениваемых структур. Эта структура очень близка к предыдущей. Отличие заключается в том, что защита разрушением происходит в более поздней стадии развития атаки — в критической ситуации.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Контратака после разрушения и использование подготовки составили 0,9% оцениваемых действий. В этой структуре контратакующий вначале с помощью защиты нарушает ход подготовки противника, но, так как противник по инерции выполняет подготовку, контратакующий использует его движение для начала атаки и проводит контрприем.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Вызов-разрушение с переходом на контратаку встречался в 1,3% случаев. Все действия — оцениваемые. Эта структура выполняется, когда атакующий осуществляет вызов на бросок, имея против него надежную защиту, после которой он с успехом переходит к контратаке [4, c. 321].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8"/>
          <w:b/>
          <w:bCs/>
          <w:color w:val="000000"/>
          <w:sz w:val="28"/>
          <w:szCs w:val="28"/>
        </w:rPr>
        <w:lastRenderedPageBreak/>
        <w:t>Защитная стратегия.</w:t>
      </w:r>
      <w:r>
        <w:rPr>
          <w:rStyle w:val="c7"/>
          <w:color w:val="000000"/>
          <w:sz w:val="28"/>
          <w:szCs w:val="28"/>
        </w:rPr>
        <w:t> Защитная стратегия занимает довольно скромное место в проанализированных схватках.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Упреждающая защита после ложной защиты на угрозу с использованием составляет 1,1%. От предыдущей структуры она отличается тем, что противник использует ложную защиту для создания начала атаки, а защищающийся в это время успевает подготовить упреждающую защиту.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Упреждающая защита после вызова на атаку составляет 1,9% от всех использованных структур. Это связано с тем, что она реализуется проще, чем все рассмотренные выше структуры в этой стратегии.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Style w:val="c7"/>
          <w:color w:val="000000"/>
          <w:sz w:val="28"/>
          <w:szCs w:val="28"/>
        </w:rPr>
        <w:t>Защитная стратегия борьбы составила 3,8%.</w:t>
      </w:r>
    </w:p>
    <w:p w:rsidR="002F20A0" w:rsidRDefault="002F20A0" w:rsidP="002F20A0">
      <w:pPr>
        <w:pStyle w:val="c0"/>
        <w:shd w:val="clear" w:color="auto" w:fill="FFFFFF"/>
        <w:spacing w:before="0" w:beforeAutospacing="0" w:after="0" w:afterAutospacing="0"/>
        <w:ind w:firstLine="360"/>
        <w:jc w:val="both"/>
        <w:rPr>
          <w:rStyle w:val="c7"/>
          <w:color w:val="000000"/>
          <w:sz w:val="28"/>
          <w:szCs w:val="28"/>
        </w:rPr>
      </w:pPr>
      <w:r>
        <w:rPr>
          <w:rStyle w:val="c7"/>
          <w:color w:val="000000"/>
          <w:sz w:val="28"/>
          <w:szCs w:val="28"/>
        </w:rPr>
        <w:t>Разнообразие тактико-технических структур подчеркивает необходимость разработки эффективной методики обучения тренеров структуризации конфликтного взаимодействия борцов, поскольку именно тренеры могут формировать у своих учеников устойчивые навыки целенаправленного взаимодействия с противником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b/>
          <w:bCs/>
          <w:color w:val="000000"/>
          <w:sz w:val="28"/>
          <w:szCs w:val="28"/>
        </w:rPr>
        <w:t>Повышение эффективности технической подготовки. </w:t>
      </w:r>
      <w:r w:rsidRPr="002F20A0">
        <w:rPr>
          <w:color w:val="000000"/>
          <w:sz w:val="28"/>
          <w:szCs w:val="28"/>
        </w:rPr>
        <w:t>Анализ научно-методической литературы показал, что затронутый вопрос изучен недостаточно. В источниках есть информация о влиянии интенсификации тренировочной работы на развитие физических качеств. Но не изученным остается воздействие повышения интенсивности тренировочного процесса на техническую подготовку борцов, параметры интенсификации нагрузки.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Для решения поставленной задачи использовались такие методы исследований, как анкетный опрос, изучение планов подготовки, педагогические наблюдения, педагогический эксперимент [6, c. 307].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Повышение интенсивности тренировочного процесса должно осуществляться в годичном цикле подготовки и охватывать различные этапы подготовительного и соревновательного периодов. Наиболее важной является интенсификация подготовки спортсменов на различных этапах соревновательного периода, так как она представляет собой заключительное звено подведения борцов к соревнованиям.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В научно-методической литературе есть рекомендация по планированию специальной подготовки в соревновательном периоде. Она заключается в предложении высококвалифицированным спортсменам выполнять специальную работу в объеме 60% от общего объема тренировочной нагрузки [20, c. 27].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Объем тренировочной работы в микроциклах соревновательного периода составляет 260 — 280 мин.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Промежуточный этап в соревновательном периоде является поддерживающим, т.е. сохраняющим высокий уровень развития анаэробных и аэробных систем энергообеспечения, физических качеств. Поэтому во избежание отрицательного воздействия интенсификации на аэробные процессы энергообеспечения и определения оптимального повышения интенсивности тренировочной работы был проведен предварительный эксперимент. Спортсмены выполняли тренировочную работу со следующей структурой нагрузки: анаэробная направленность — 40% от общего объема </w:t>
      </w:r>
      <w:r w:rsidRPr="002F20A0">
        <w:rPr>
          <w:color w:val="000000"/>
          <w:sz w:val="28"/>
          <w:szCs w:val="28"/>
        </w:rPr>
        <w:lastRenderedPageBreak/>
        <w:t xml:space="preserve">тренировочной работы, анаэробно — аэробная — 35%, аэробная — 25%. Проведенное тестирование показало негативное влияние данных параметров на аэробные системы энергообеспечения, что позволило предложить увеличение интенсивности тренировочной работы путем повышения объема анаэробной работы до 30% (1% — </w:t>
      </w:r>
      <w:proofErr w:type="spellStart"/>
      <w:r w:rsidRPr="002F20A0">
        <w:rPr>
          <w:color w:val="000000"/>
          <w:sz w:val="28"/>
          <w:szCs w:val="28"/>
        </w:rPr>
        <w:t>алактатная</w:t>
      </w:r>
      <w:proofErr w:type="spellEnd"/>
      <w:r w:rsidRPr="002F20A0">
        <w:rPr>
          <w:color w:val="000000"/>
          <w:sz w:val="28"/>
          <w:szCs w:val="28"/>
        </w:rPr>
        <w:t>, 29% -</w:t>
      </w:r>
      <w:proofErr w:type="spellStart"/>
      <w:r w:rsidRPr="002F20A0">
        <w:rPr>
          <w:color w:val="000000"/>
          <w:sz w:val="28"/>
          <w:szCs w:val="28"/>
        </w:rPr>
        <w:t>гликолизная</w:t>
      </w:r>
      <w:proofErr w:type="spellEnd"/>
      <w:r w:rsidRPr="002F20A0">
        <w:rPr>
          <w:color w:val="000000"/>
          <w:sz w:val="28"/>
          <w:szCs w:val="28"/>
        </w:rPr>
        <w:t>) от общего объема специальной работы, повышения анаэробно — аэробной нагрузки до 30%, аэробной — до 40%. Специальную подготовку необходимо планировать в объеме 60% от общего объема тренировочной работы, ОФП — 40%.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С целью определения влияния интенсификации учебно-тренировочного процесса на техническую подготовку борцов был проведен педагогический эксперимент. Для этого была сформирована группа спортсменов из двенадцати человек. Возраст членов группы — 14-16 лет, квалификация — </w:t>
      </w:r>
      <w:proofErr w:type="spellStart"/>
      <w:r w:rsidRPr="002F20A0">
        <w:rPr>
          <w:color w:val="000000"/>
          <w:sz w:val="28"/>
          <w:szCs w:val="28"/>
        </w:rPr>
        <w:t>кмс</w:t>
      </w:r>
      <w:proofErr w:type="spellEnd"/>
      <w:r w:rsidRPr="002F20A0">
        <w:rPr>
          <w:color w:val="000000"/>
          <w:sz w:val="28"/>
          <w:szCs w:val="28"/>
        </w:rPr>
        <w:t>. Педагогический эксперимент проводился в два этапа [20, c. 31].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На первом этапе тренировочная работа планировалась по показателям, применяемым в практической работе. На втором этапе тренировочный процесс строился по предложенным параметрам.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Для определения технической подготовленности борцов в начале и в конце каждого этапа проводились соревнования. Спортсмены боролись между собой по круговой системе.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Техническая подготовленность исследовалась путем применения метода педагогических наблюдений. Регистрировалось количество приемов, проводимых в соревновательных поединках.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Результаты исследований представлены в приложении 12.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Важность разработки интенсификации промежуточного этапа для планирования тренировочной нагрузки в соревновательном периоде разделяет и М.Г. </w:t>
      </w:r>
      <w:proofErr w:type="spellStart"/>
      <w:r w:rsidRPr="002F20A0">
        <w:rPr>
          <w:color w:val="000000"/>
          <w:sz w:val="28"/>
          <w:szCs w:val="28"/>
        </w:rPr>
        <w:t>Окрашидзе</w:t>
      </w:r>
      <w:proofErr w:type="spellEnd"/>
      <w:r w:rsidRPr="002F20A0">
        <w:rPr>
          <w:color w:val="000000"/>
          <w:sz w:val="28"/>
          <w:szCs w:val="28"/>
        </w:rPr>
        <w:t>. Он считает, что показатели тренировочного процесса на данном этапе являются основой, ориентиром для эффективного планирования нагрузок в соревновательном и подготовительном периодах. Следует остановиться и на единстве мнений, высказанных учеными и практиками об объемах средств ОФП и СФП, подтверждающих оптимальность используемых параметров.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В итоге проведенных исследований можно сделать следующие выводы:</w:t>
      </w:r>
    </w:p>
    <w:p w:rsidR="002F20A0" w:rsidRPr="002F20A0" w:rsidRDefault="002F20A0" w:rsidP="002F20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1. Интенсификация учебно-тренировочного процесса способствует более эффективному совершенствованию технической подготовленности борцов.</w:t>
      </w:r>
    </w:p>
    <w:p w:rsidR="002F20A0" w:rsidRPr="002F20A0" w:rsidRDefault="002F20A0" w:rsidP="002F20A0">
      <w:pPr>
        <w:shd w:val="clear" w:color="auto" w:fill="FFFFFF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2. Повысить интенсивность тренировочной работы в соревновательном периоде на промежуточном этапе можно, планируя следующие параметры тренировочной нагрузки: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анаэробной направленности — 30% от общего объема специальной нагрузки;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анаэробно-аэробной направленности — до 30% от общего объема специальной нагрузки;</w:t>
      </w:r>
    </w:p>
    <w:p w:rsidR="002F20A0" w:rsidRPr="002F20A0" w:rsidRDefault="002F20A0" w:rsidP="002F20A0">
      <w:pPr>
        <w:numPr>
          <w:ilvl w:val="0"/>
          <w:numId w:val="4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тренировочная работа аэробной направленности — до 40% от общего объема специальной нагрузки</w:t>
      </w:r>
    </w:p>
    <w:p w:rsidR="002F20A0" w:rsidRPr="002F20A0" w:rsidRDefault="002F20A0" w:rsidP="002F20A0">
      <w:pPr>
        <w:tabs>
          <w:tab w:val="left" w:pos="4125"/>
        </w:tabs>
        <w:rPr>
          <w:b/>
          <w:sz w:val="28"/>
          <w:szCs w:val="28"/>
        </w:rPr>
      </w:pP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lastRenderedPageBreak/>
        <w:t>При анализе тенденций совершенствования правил соревнований по борьбе, можно отметить, что эти правила, безусловно, нуждаются в дальнейшей разработке и коррекции. Однако такие коррекции должны носить строго аргументированный характер.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Степень совершенства навыка борьбы в схватке определяется сравнением с навыком противника. Навык оценивается судьями в соответствии с правилами соревнований. Система оценок результата соревновательной деятельности в схватке различна в разных видах борьбы. Общее в них — победа или поражение борца с различным качеством.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Большую роль в контроле соревновательной деятельности борца в схватке может иметь работа комплексной научной группы. Регистрация соревновательной деятельности борцов в схватках позволяет более точно выявить достоинства и недостатки навыка.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По результатам педагогических наблюдений со стенографической записью определяются все показатели соревновательной деятельности от активности в нападении и защите до ее результативности.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Выявление достоинств и недостатков навыка ведения схватки достигается сравнением показателей соревновательной деятельности борца с аналогичными показателями его противников.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Модельные показатели могут служить ориентиром в построении на занятиях тренировочных схваток. Они также дают информацию для построения тактики схваток с вероятными противниками в предстоящих соревнованиях.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Рассмотрение тактики спортивной борьбы в рамках концепции конфликтной деятельности позволяет проводить теоретический анализ соревновательной деятельности.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Но, приступая к моделированию данных структур, необходимо иметь планирование деятельности борцов, как в период тренировочных занятий, так и в соревновательный период.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Планирование включает все средства, обеспечивающие достижение высоких спортивных результатов, должно предусматривать единство различных видов подготовки спортсмена, непрерывность, цикличность тренировочного процесса, постепенное и максимальное увеличение требований, волнообразное изменение тренировочных нагрузок.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Основная задача планирования подготовки борцов заключается в постепенном наращивании тренировочных нагрузок при постоянном контроле за эффективностью проведенной работы.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Периодизация тренировки – необходимая закономерность для развития спортивной формы, достижение поставленных задач и целей.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Тренировка борцов – это сложный процесс, который объединяет и планирование, и периодизацию, и самоотдачу спортсменов.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  С помощью планирования необходимо систематизировать периодизацию спортивной тренировки – это основная задача при подготовке к соревнованиям. Т.к. в системе подготовки спортсменов центральное место </w:t>
      </w:r>
      <w:r w:rsidRPr="002F20A0">
        <w:rPr>
          <w:color w:val="000000"/>
          <w:sz w:val="28"/>
          <w:szCs w:val="28"/>
        </w:rPr>
        <w:lastRenderedPageBreak/>
        <w:t>занимают взаимосвязанные звенья: тренировка – соревнования – восстановление.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  Моделирование различных ситуаций единоборства, включая субъективные факторы судейства, позволяет: разнообразить умения и навыки борца; вырабатывать индивидуальный стиль ведения поединка, формировать и совершенствовать коронную технику.</w:t>
      </w:r>
    </w:p>
    <w:p w:rsidR="002F20A0" w:rsidRPr="002F20A0" w:rsidRDefault="002F20A0" w:rsidP="002F20A0">
      <w:pPr>
        <w:shd w:val="clear" w:color="auto" w:fill="FFFFFF"/>
        <w:ind w:firstLine="36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  Таким образом, использование биомеханизмов, модели части или всего двигательного аппарата, для структуризации спортивной техники борьбы позволяет с новых позиций и под другим углом зрения оценить теоретические основы и методологию спортивной техники борьбы. Однако исследуемая проблема слишком велика, она не только заслуживает, но и требует отдельных и </w:t>
      </w:r>
      <w:bookmarkStart w:id="0" w:name="_GoBack"/>
      <w:bookmarkEnd w:id="0"/>
      <w:r w:rsidR="00FD2644" w:rsidRPr="002F20A0">
        <w:rPr>
          <w:color w:val="000000"/>
          <w:sz w:val="28"/>
          <w:szCs w:val="28"/>
        </w:rPr>
        <w:t>неоднократных серьезных обсуждений,</w:t>
      </w:r>
      <w:r w:rsidRPr="002F20A0">
        <w:rPr>
          <w:color w:val="000000"/>
          <w:sz w:val="28"/>
          <w:szCs w:val="28"/>
        </w:rPr>
        <w:t xml:space="preserve"> и обмена мнениями, а также отдельных изданий и применение их на практике.</w:t>
      </w:r>
    </w:p>
    <w:p w:rsidR="002F20A0" w:rsidRPr="003B08B8" w:rsidRDefault="003B08B8" w:rsidP="003B08B8">
      <w:pPr>
        <w:pStyle w:val="a3"/>
        <w:shd w:val="clear" w:color="auto" w:fill="FFFFFF"/>
        <w:rPr>
          <w:rFonts w:ascii="Times New Roman" w:hAnsi="Times New Roman" w:cs="Times New Roman"/>
          <w:color w:val="000000"/>
          <w:sz w:val="32"/>
          <w:szCs w:val="32"/>
        </w:rPr>
      </w:pPr>
      <w:r w:rsidRPr="003B08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4.</w:t>
      </w:r>
      <w:r w:rsidR="002F20A0" w:rsidRPr="003B08B8">
        <w:rPr>
          <w:rFonts w:ascii="Times New Roman" w:hAnsi="Times New Roman" w:cs="Times New Roman"/>
          <w:b/>
          <w:bCs/>
          <w:color w:val="000000"/>
          <w:sz w:val="32"/>
          <w:szCs w:val="32"/>
        </w:rPr>
        <w:t>Список литературы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Бегидов</w:t>
      </w:r>
      <w:proofErr w:type="spellEnd"/>
      <w:r w:rsidRPr="002F20A0">
        <w:rPr>
          <w:color w:val="000000"/>
          <w:sz w:val="28"/>
          <w:szCs w:val="28"/>
        </w:rPr>
        <w:t xml:space="preserve"> В.С. «Методика силовой подготовки борцов. Теория и практика Ф.К.» - 1993 - №516-с5-6.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Блеер</w:t>
      </w:r>
      <w:proofErr w:type="spellEnd"/>
      <w:r w:rsidRPr="002F20A0">
        <w:rPr>
          <w:color w:val="000000"/>
          <w:sz w:val="28"/>
          <w:szCs w:val="28"/>
        </w:rPr>
        <w:t xml:space="preserve"> А.Н., </w:t>
      </w:r>
      <w:proofErr w:type="spellStart"/>
      <w:r w:rsidRPr="002F20A0">
        <w:rPr>
          <w:color w:val="000000"/>
          <w:sz w:val="28"/>
          <w:szCs w:val="28"/>
        </w:rPr>
        <w:t>Шаян</w:t>
      </w:r>
      <w:proofErr w:type="spellEnd"/>
      <w:r w:rsidRPr="002F20A0">
        <w:rPr>
          <w:color w:val="000000"/>
          <w:sz w:val="28"/>
          <w:szCs w:val="28"/>
        </w:rPr>
        <w:t xml:space="preserve"> В.В. «Влияние физического утомления спортсменов на надежность проявления двигательного навыка борца» \\ Теория и практика физической культуры. 2002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«Все о спорте: Справочник» Т.1 / сост. А.А. Добров – М. 1978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Галковский</w:t>
      </w:r>
      <w:proofErr w:type="spellEnd"/>
      <w:r w:rsidRPr="002F20A0">
        <w:rPr>
          <w:color w:val="000000"/>
          <w:sz w:val="28"/>
          <w:szCs w:val="28"/>
        </w:rPr>
        <w:t xml:space="preserve"> Н.М. «Борьба» - М., 1952 – 447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Галковский</w:t>
      </w:r>
      <w:proofErr w:type="spellEnd"/>
      <w:r w:rsidRPr="002F20A0">
        <w:rPr>
          <w:color w:val="000000"/>
          <w:sz w:val="28"/>
          <w:szCs w:val="28"/>
        </w:rPr>
        <w:t xml:space="preserve"> Н.М., Новиков А.А. Оправдались ли надежды ФИЛА? Развитие техники борьбы // Спортивная борьба. М., 1975, c. 27-28.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Головин В.А. «Физическое воспитание» - М. 1983 – 391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Добров А.А. «Год Олимпийский, 72.» - М. 1973 – 374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Каращук</w:t>
      </w:r>
      <w:proofErr w:type="spellEnd"/>
      <w:r w:rsidRPr="002F20A0">
        <w:rPr>
          <w:color w:val="000000"/>
          <w:sz w:val="28"/>
          <w:szCs w:val="28"/>
        </w:rPr>
        <w:t xml:space="preserve"> А.Ф. «Биомеханизмы как основа спортивной техники борьбы»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Киселев Ю.Я. «Влияние спорта на формирование личности» - М. 1981 – 64 стр. ФИС 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Кочурко</w:t>
      </w:r>
      <w:proofErr w:type="spellEnd"/>
      <w:r w:rsidRPr="002F20A0">
        <w:rPr>
          <w:color w:val="000000"/>
          <w:sz w:val="28"/>
          <w:szCs w:val="28"/>
        </w:rPr>
        <w:t xml:space="preserve"> Е.И. «Подготовка квалифицированных борцов». Методическое пособие. Мн. 1984 – 96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Кулик Н.Г., Елисеев С.В. «Влияние продолжительности вольных схваток на развитие работоспособности» \\ Теория и практика физической культуры. 2001 г.  № 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Купцов А.П., </w:t>
      </w:r>
      <w:proofErr w:type="spellStart"/>
      <w:r w:rsidRPr="002F20A0">
        <w:rPr>
          <w:color w:val="000000"/>
          <w:sz w:val="28"/>
          <w:szCs w:val="28"/>
        </w:rPr>
        <w:t>Шадзевский</w:t>
      </w:r>
      <w:proofErr w:type="spellEnd"/>
      <w:r w:rsidRPr="002F20A0">
        <w:rPr>
          <w:color w:val="000000"/>
          <w:sz w:val="28"/>
          <w:szCs w:val="28"/>
        </w:rPr>
        <w:t xml:space="preserve"> Э.Б. «Классификации техники спортивной борьбы в помощь правилам соревнований и практики судейства» \\ Теория и практика физической культуры. 2000 г.  № 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Купцов А.П. Правила соревнований и классификация техники спортивной борьбы // Актуальные проблемы спортивной борьбы. - М.: ФОН, 1998, с. 69-73.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Курников С.Н. «Конфликтное взаимодействие борцов в схватке при различных стратегиях в греко-римской борьбе» \\ Теория и практика физической культуры. 1999 г.  № 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lastRenderedPageBreak/>
        <w:t>Масков</w:t>
      </w:r>
      <w:proofErr w:type="spellEnd"/>
      <w:r w:rsidRPr="002F20A0">
        <w:rPr>
          <w:color w:val="000000"/>
          <w:sz w:val="28"/>
          <w:szCs w:val="28"/>
        </w:rPr>
        <w:t xml:space="preserve"> О.Б. «Основы тактики борьбы с </w:t>
      </w:r>
      <w:proofErr w:type="gramStart"/>
      <w:r w:rsidRPr="002F20A0">
        <w:rPr>
          <w:color w:val="000000"/>
          <w:sz w:val="28"/>
          <w:szCs w:val="28"/>
        </w:rPr>
        <w:t>позиции  теории</w:t>
      </w:r>
      <w:proofErr w:type="gramEnd"/>
      <w:r w:rsidRPr="002F20A0">
        <w:rPr>
          <w:color w:val="000000"/>
          <w:sz w:val="28"/>
          <w:szCs w:val="28"/>
        </w:rPr>
        <w:t xml:space="preserve"> конфликтной деятельности»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Медведь А.А., </w:t>
      </w:r>
      <w:proofErr w:type="spellStart"/>
      <w:r w:rsidRPr="002F20A0">
        <w:rPr>
          <w:color w:val="000000"/>
          <w:sz w:val="28"/>
          <w:szCs w:val="28"/>
        </w:rPr>
        <w:t>Шахлай</w:t>
      </w:r>
      <w:proofErr w:type="spellEnd"/>
      <w:r w:rsidRPr="002F20A0">
        <w:rPr>
          <w:color w:val="000000"/>
          <w:sz w:val="28"/>
          <w:szCs w:val="28"/>
        </w:rPr>
        <w:t xml:space="preserve"> А.М. «Повышение эффективности технической подготовки высококвалифицированных борцов в соревновательном периоде» \\ Теория и практика физической культуры. 2002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Морозов А.К. «Анализ техники основных приемов в вольной борьбе» \\ Теория и практика физической культуры. 2000 г.  № 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Овчаренко Е.И. «Психоаналитический глоссарий». Мн. – </w:t>
      </w:r>
      <w:proofErr w:type="spellStart"/>
      <w:r w:rsidRPr="002F20A0">
        <w:rPr>
          <w:color w:val="000000"/>
          <w:sz w:val="28"/>
          <w:szCs w:val="28"/>
        </w:rPr>
        <w:t>Высш</w:t>
      </w:r>
      <w:proofErr w:type="spellEnd"/>
      <w:r w:rsidRPr="002F20A0">
        <w:rPr>
          <w:color w:val="000000"/>
          <w:sz w:val="28"/>
          <w:szCs w:val="28"/>
        </w:rPr>
        <w:t xml:space="preserve">. </w:t>
      </w:r>
      <w:proofErr w:type="spellStart"/>
      <w:r w:rsidRPr="002F20A0">
        <w:rPr>
          <w:color w:val="000000"/>
          <w:sz w:val="28"/>
          <w:szCs w:val="28"/>
        </w:rPr>
        <w:t>шк</w:t>
      </w:r>
      <w:proofErr w:type="spellEnd"/>
      <w:r w:rsidRPr="002F20A0">
        <w:rPr>
          <w:color w:val="000000"/>
          <w:sz w:val="28"/>
          <w:szCs w:val="28"/>
        </w:rPr>
        <w:t>. 1994.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Остапенко Н.С. Повышение эффективности соревновательной деятельности по спортивной борьбе на основе оптимизации правил соревнований: </w:t>
      </w:r>
      <w:proofErr w:type="spellStart"/>
      <w:r w:rsidRPr="002F20A0">
        <w:rPr>
          <w:color w:val="000000"/>
          <w:sz w:val="28"/>
          <w:szCs w:val="28"/>
        </w:rPr>
        <w:t>Автореф</w:t>
      </w:r>
      <w:proofErr w:type="spellEnd"/>
      <w:r w:rsidRPr="002F20A0">
        <w:rPr>
          <w:color w:val="000000"/>
          <w:sz w:val="28"/>
          <w:szCs w:val="28"/>
        </w:rPr>
        <w:t xml:space="preserve">. канд. </w:t>
      </w:r>
      <w:proofErr w:type="spellStart"/>
      <w:r w:rsidRPr="002F20A0">
        <w:rPr>
          <w:color w:val="000000"/>
          <w:sz w:val="28"/>
          <w:szCs w:val="28"/>
        </w:rPr>
        <w:t>дис</w:t>
      </w:r>
      <w:proofErr w:type="spellEnd"/>
      <w:r w:rsidRPr="002F20A0">
        <w:rPr>
          <w:color w:val="000000"/>
          <w:sz w:val="28"/>
          <w:szCs w:val="28"/>
        </w:rPr>
        <w:t>. - М.: ВНИИФК, 1997. - 25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Павлов А.Е. «Экспериментальное обоснование эффективности методики обучения юных борцов технико-тактическим действиям с использованием технических средств» \\Теория и практика физической культуры. 2002г.  №2.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Петровский А.В. «Краткий психоаналитический словарь» - М. Полит </w:t>
      </w:r>
      <w:proofErr w:type="spellStart"/>
      <w:r w:rsidRPr="002F20A0">
        <w:rPr>
          <w:color w:val="000000"/>
          <w:sz w:val="28"/>
          <w:szCs w:val="28"/>
        </w:rPr>
        <w:t>издат</w:t>
      </w:r>
      <w:proofErr w:type="spellEnd"/>
      <w:r w:rsidRPr="002F20A0">
        <w:rPr>
          <w:color w:val="000000"/>
          <w:sz w:val="28"/>
          <w:szCs w:val="28"/>
        </w:rPr>
        <w:t>., 1985 – 427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Петровский А.В. «Психология»: словарь – М. 1990 – 498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Подливаев</w:t>
      </w:r>
      <w:proofErr w:type="spellEnd"/>
      <w:r w:rsidRPr="002F20A0">
        <w:rPr>
          <w:color w:val="000000"/>
          <w:sz w:val="28"/>
          <w:szCs w:val="28"/>
        </w:rPr>
        <w:t xml:space="preserve"> Б.А. «Моделирование тренировочных заданий в спортивной борьбе» \\ Теория и практика физической культуры. 2001 г.  № 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Прохорова М.В., Семенов А.Г. Проблемные аспекты судейства в греко-римской борьбе // Теория и практика физ. культуры. 1999, № 7, с. 25-26.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Посошков И.Д. Греко-римская борьба в спортивном движении студенческой молодежи: </w:t>
      </w:r>
      <w:proofErr w:type="gramStart"/>
      <w:r w:rsidRPr="002F20A0">
        <w:rPr>
          <w:color w:val="000000"/>
          <w:sz w:val="28"/>
          <w:szCs w:val="28"/>
        </w:rPr>
        <w:t>Учеб.-</w:t>
      </w:r>
      <w:proofErr w:type="gramEnd"/>
      <w:r w:rsidRPr="002F20A0">
        <w:rPr>
          <w:color w:val="000000"/>
          <w:sz w:val="28"/>
          <w:szCs w:val="28"/>
        </w:rPr>
        <w:t>метод. пос. - СПб.: Изд.- во СПбГУЭФ,1997. -150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Посошков И.Д. Воспитательный потенциал греко-римской борьбы. - СПб.: Изд.-во </w:t>
      </w:r>
      <w:proofErr w:type="spellStart"/>
      <w:r w:rsidRPr="002F20A0">
        <w:rPr>
          <w:color w:val="000000"/>
          <w:sz w:val="28"/>
          <w:szCs w:val="28"/>
        </w:rPr>
        <w:t>СПбГУЭФ</w:t>
      </w:r>
      <w:proofErr w:type="spellEnd"/>
      <w:r w:rsidRPr="002F20A0">
        <w:rPr>
          <w:color w:val="000000"/>
          <w:sz w:val="28"/>
          <w:szCs w:val="28"/>
        </w:rPr>
        <w:t>, 1998, с. 55-57.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Прохорова М.В., Семенов А.Г., Белоглазов С.Ю. Лидеры греко-римской борьбы: Учеб. пос. - СПб.: Изд-во </w:t>
      </w:r>
      <w:proofErr w:type="spellStart"/>
      <w:r w:rsidRPr="002F20A0">
        <w:rPr>
          <w:color w:val="000000"/>
          <w:sz w:val="28"/>
          <w:szCs w:val="28"/>
        </w:rPr>
        <w:t>СПбГУЭФ</w:t>
      </w:r>
      <w:proofErr w:type="spellEnd"/>
      <w:r w:rsidRPr="002F20A0">
        <w:rPr>
          <w:color w:val="000000"/>
          <w:sz w:val="28"/>
          <w:szCs w:val="28"/>
        </w:rPr>
        <w:t>, 2003. - 208 с.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Саносян</w:t>
      </w:r>
      <w:proofErr w:type="spellEnd"/>
      <w:r w:rsidRPr="002F20A0">
        <w:rPr>
          <w:color w:val="000000"/>
          <w:sz w:val="28"/>
          <w:szCs w:val="28"/>
        </w:rPr>
        <w:t xml:space="preserve"> Х.А. «Разработка современной комплексной технологии контроля в видах единоборств» \\ Теория и практика физической культуры. 1999 г.  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Сорокин Н.А. «Спортивная борьба» - М. – </w:t>
      </w:r>
      <w:proofErr w:type="spellStart"/>
      <w:r w:rsidRPr="002F20A0">
        <w:rPr>
          <w:color w:val="000000"/>
          <w:sz w:val="28"/>
          <w:szCs w:val="28"/>
        </w:rPr>
        <w:t>ФиС</w:t>
      </w:r>
      <w:proofErr w:type="spellEnd"/>
      <w:r w:rsidRPr="002F20A0">
        <w:rPr>
          <w:color w:val="000000"/>
          <w:sz w:val="28"/>
          <w:szCs w:val="28"/>
        </w:rPr>
        <w:t xml:space="preserve"> 1953 – 288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Столбов В.В. «История физической культуры» - М. 1989 – 288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Столяров В.И. «Красота спорта» - М. 1984 – 256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Суханов А.Д. «Особенности подведения единоборцев к состоянию наивысшей готовности» \\ Теория и практика физической культуры. 2000 г.  № 7.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Тараканов Б.И. «Критический анализ современных тенденций развития спортивной борьбы» \\ Теория и практика физической культуры. 2002 г.  №4.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lastRenderedPageBreak/>
        <w:t xml:space="preserve">Тарасенко М.В. «Средства установления и адаптации к нагрузкам в процессе предсоревновательной </w:t>
      </w:r>
      <w:proofErr w:type="spellStart"/>
      <w:r w:rsidRPr="002F20A0">
        <w:rPr>
          <w:color w:val="000000"/>
          <w:sz w:val="28"/>
          <w:szCs w:val="28"/>
        </w:rPr>
        <w:t>полготовки</w:t>
      </w:r>
      <w:proofErr w:type="spellEnd"/>
      <w:r w:rsidRPr="002F20A0">
        <w:rPr>
          <w:color w:val="000000"/>
          <w:sz w:val="28"/>
          <w:szCs w:val="28"/>
        </w:rPr>
        <w:t xml:space="preserve"> борцов» \\ Теория и практика физической культуры. 2000 г.  № 5.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>Чумаков Е.М. «Масштабы соревновательной деятельности борца» \\ Теория и практика физической культуры. 1998 г.  № 8.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proofErr w:type="spellStart"/>
      <w:r w:rsidRPr="002F20A0">
        <w:rPr>
          <w:color w:val="000000"/>
          <w:sz w:val="28"/>
          <w:szCs w:val="28"/>
        </w:rPr>
        <w:t>Шандаров</w:t>
      </w:r>
      <w:proofErr w:type="spellEnd"/>
      <w:r w:rsidRPr="002F20A0">
        <w:rPr>
          <w:color w:val="000000"/>
          <w:sz w:val="28"/>
          <w:szCs w:val="28"/>
        </w:rPr>
        <w:t xml:space="preserve"> П.К. «Ф.К. и С., как средство формирования активной жизненной позиции» - М. 1983 – 144 стр.</w:t>
      </w:r>
    </w:p>
    <w:p w:rsidR="002F20A0" w:rsidRPr="002F20A0" w:rsidRDefault="002F20A0" w:rsidP="002F20A0">
      <w:pPr>
        <w:numPr>
          <w:ilvl w:val="0"/>
          <w:numId w:val="3"/>
        </w:numPr>
        <w:shd w:val="clear" w:color="auto" w:fill="FFFFFF"/>
        <w:ind w:left="0" w:firstLine="900"/>
        <w:jc w:val="both"/>
        <w:rPr>
          <w:rFonts w:ascii="Arial" w:hAnsi="Arial" w:cs="Arial"/>
          <w:color w:val="000000"/>
          <w:sz w:val="22"/>
          <w:szCs w:val="22"/>
        </w:rPr>
      </w:pPr>
      <w:r w:rsidRPr="002F20A0">
        <w:rPr>
          <w:color w:val="000000"/>
          <w:sz w:val="28"/>
          <w:szCs w:val="28"/>
        </w:rPr>
        <w:t xml:space="preserve">Юрков В.Н. «Энциклопедический словарь по </w:t>
      </w:r>
      <w:proofErr w:type="spellStart"/>
      <w:r w:rsidRPr="002F20A0">
        <w:rPr>
          <w:color w:val="000000"/>
          <w:sz w:val="28"/>
          <w:szCs w:val="28"/>
        </w:rPr>
        <w:t>ФКиС</w:t>
      </w:r>
      <w:proofErr w:type="spellEnd"/>
      <w:r w:rsidRPr="002F20A0">
        <w:rPr>
          <w:color w:val="000000"/>
          <w:sz w:val="28"/>
          <w:szCs w:val="28"/>
        </w:rPr>
        <w:t>» Т1 – М. 1961 – 368 стр.</w:t>
      </w:r>
    </w:p>
    <w:p w:rsidR="002F20A0" w:rsidRDefault="002F20A0"/>
    <w:sectPr w:rsidR="002F20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9F4451"/>
    <w:multiLevelType w:val="multilevel"/>
    <w:tmpl w:val="23585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8A92676"/>
    <w:multiLevelType w:val="hybridMultilevel"/>
    <w:tmpl w:val="0DD64AC6"/>
    <w:lvl w:ilvl="0" w:tplc="A3C8A74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9C34BF"/>
    <w:multiLevelType w:val="multilevel"/>
    <w:tmpl w:val="74E01C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13545AA"/>
    <w:multiLevelType w:val="multilevel"/>
    <w:tmpl w:val="93F238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E1B269B"/>
    <w:multiLevelType w:val="multilevel"/>
    <w:tmpl w:val="994EA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1AE6"/>
    <w:rsid w:val="00000088"/>
    <w:rsid w:val="002F20A0"/>
    <w:rsid w:val="003B08B8"/>
    <w:rsid w:val="00921AE6"/>
    <w:rsid w:val="00A34B40"/>
    <w:rsid w:val="00B140E4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B39D54"/>
  <w15:chartTrackingRefBased/>
  <w15:docId w15:val="{4D98661D-6DE1-4622-91AA-941B6077E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140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9">
    <w:name w:val="c19"/>
    <w:basedOn w:val="a"/>
    <w:rsid w:val="00B140E4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B140E4"/>
  </w:style>
  <w:style w:type="paragraph" w:customStyle="1" w:styleId="c0">
    <w:name w:val="c0"/>
    <w:basedOn w:val="a"/>
    <w:rsid w:val="00B140E4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B140E4"/>
  </w:style>
  <w:style w:type="paragraph" w:styleId="a3">
    <w:name w:val="List Paragraph"/>
    <w:basedOn w:val="a"/>
    <w:uiPriority w:val="34"/>
    <w:qFormat/>
    <w:rsid w:val="003B08B8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96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17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19</Pages>
  <Words>7035</Words>
  <Characters>40102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Ивановна</dc:creator>
  <cp:keywords/>
  <dc:description/>
  <cp:lastModifiedBy>Пользователь</cp:lastModifiedBy>
  <cp:revision>4</cp:revision>
  <dcterms:created xsi:type="dcterms:W3CDTF">2020-01-29T06:42:00Z</dcterms:created>
  <dcterms:modified xsi:type="dcterms:W3CDTF">2023-03-01T07:01:00Z</dcterms:modified>
</cp:coreProperties>
</file>