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6C" w:rsidRDefault="00E00B6C" w:rsidP="00E00B6C">
      <w:pPr>
        <w:ind w:left="-426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Государственная итоговая аттестация выпускников  11 класса.</w:t>
      </w:r>
      <w:r>
        <w:rPr>
          <w:color w:val="000000"/>
          <w:szCs w:val="28"/>
        </w:rPr>
        <w:t xml:space="preserve"> 31 ученик окончили 11 класс. Были допущены к итоговой аттестации - 31человек в форме ЕГЭ. Успешно прошли аттестацию и получили аттестат о среднем общем образовании -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31 в</w:t>
      </w:r>
      <w:r>
        <w:rPr>
          <w:color w:val="000000"/>
          <w:szCs w:val="28"/>
        </w:rPr>
        <w:t>ыпускников</w:t>
      </w:r>
      <w:r>
        <w:rPr>
          <w:szCs w:val="28"/>
        </w:rPr>
        <w:t>. С</w:t>
      </w:r>
      <w:r>
        <w:t xml:space="preserve"> медалью «За особые успехи в учении» учебный год закончили 12 учащихся. Похвальными грамотами « За особые успехи в изучении отдельных предметов» награждены- 3 ученика.  </w:t>
      </w:r>
    </w:p>
    <w:p w:rsidR="00E00B6C" w:rsidRDefault="00E00B6C" w:rsidP="00E00B6C">
      <w:pPr>
        <w:ind w:firstLine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Итоговая аттестация в 11-х классах</w:t>
      </w:r>
    </w:p>
    <w:tbl>
      <w:tblPr>
        <w:tblW w:w="51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1199"/>
        <w:gridCol w:w="1199"/>
        <w:gridCol w:w="1265"/>
        <w:gridCol w:w="1296"/>
        <w:gridCol w:w="1199"/>
        <w:gridCol w:w="1267"/>
        <w:gridCol w:w="1265"/>
      </w:tblGrid>
      <w:tr w:rsidR="00E00B6C" w:rsidTr="00E00B6C">
        <w:trPr>
          <w:trHeight w:val="137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Количество</w:t>
            </w:r>
          </w:p>
          <w:p w:rsidR="00E00B6C" w:rsidRDefault="00E00B6C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классов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Количество учащихся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Количество медалей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Количество учащихся окончивших на «4 и 5»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Количество учащихся, не допущенных к итоговой аттестации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Количество учащихся сдававших в щадящем режиме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Количество учащихся, получивших аттестат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Количество учащихся, окончивших среднюю школу со справкой</w:t>
            </w:r>
          </w:p>
        </w:tc>
      </w:tr>
      <w:tr w:rsidR="00E00B6C" w:rsidTr="00E00B6C">
        <w:trPr>
          <w:trHeight w:val="49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00B6C" w:rsidRDefault="00E00B6C" w:rsidP="00E00B6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Результаты итоговой аттестации 11 классы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1842"/>
        <w:gridCol w:w="1854"/>
        <w:gridCol w:w="1854"/>
        <w:gridCol w:w="2598"/>
      </w:tblGrid>
      <w:tr w:rsidR="00E00B6C" w:rsidTr="00E00B6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сдавало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району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РМ</w:t>
            </w:r>
          </w:p>
        </w:tc>
      </w:tr>
      <w:tr w:rsidR="00E00B6C" w:rsidTr="00E00B6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</w:tr>
      <w:tr w:rsidR="00E00B6C" w:rsidTr="00E00B6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6C" w:rsidTr="00E00B6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00B6C" w:rsidTr="00E00B6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00B6C" w:rsidTr="00E00B6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00B6C" w:rsidTr="00E00B6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00B6C" w:rsidTr="00E00B6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00B6C" w:rsidTr="00E00B6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00B6C" w:rsidTr="00E00B6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E00B6C" w:rsidTr="00E00B6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00B6C" w:rsidTr="00E00B6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6C" w:rsidTr="00E00B6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E00B6C" w:rsidRDefault="00E00B6C" w:rsidP="00E00B6C">
      <w:pPr>
        <w:jc w:val="both"/>
        <w:rPr>
          <w:szCs w:val="28"/>
        </w:rPr>
      </w:pPr>
      <w:r>
        <w:rPr>
          <w:color w:val="E36C0A"/>
          <w:szCs w:val="28"/>
        </w:rPr>
        <w:t xml:space="preserve">        </w:t>
      </w:r>
    </w:p>
    <w:p w:rsidR="00E00B6C" w:rsidRDefault="00E00B6C" w:rsidP="00E00B6C">
      <w:pPr>
        <w:ind w:firstLine="284"/>
        <w:jc w:val="both"/>
        <w:rPr>
          <w:szCs w:val="28"/>
        </w:rPr>
      </w:pPr>
      <w:r>
        <w:rPr>
          <w:b/>
          <w:szCs w:val="28"/>
        </w:rPr>
        <w:t>Количество учащихся, которые не набрали минимальное количество баллов</w:t>
      </w:r>
    </w:p>
    <w:tbl>
      <w:tblPr>
        <w:tblW w:w="51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8"/>
        <w:gridCol w:w="3624"/>
        <w:gridCol w:w="3143"/>
      </w:tblGrid>
      <w:tr w:rsidR="00E00B6C" w:rsidTr="00E00B6C">
        <w:trPr>
          <w:trHeight w:val="689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Предмет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сдававших ЕГЭ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Учащиеся, не набравшие минимальное количество баллов</w:t>
            </w:r>
          </w:p>
        </w:tc>
      </w:tr>
      <w:tr w:rsidR="00E00B6C" w:rsidTr="00E00B6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E00B6C" w:rsidTr="00E00B6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E00B6C" w:rsidTr="00E00B6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География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E00B6C" w:rsidTr="00E00B6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Физика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E00B6C" w:rsidTr="00E00B6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Обществознание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0B6C" w:rsidTr="00E00B6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История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0</w:t>
            </w:r>
          </w:p>
        </w:tc>
      </w:tr>
      <w:tr w:rsidR="00E00B6C" w:rsidTr="00E00B6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Химия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0B6C" w:rsidTr="00E00B6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Биология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00B6C" w:rsidTr="00E00B6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Английский язык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0B6C" w:rsidTr="00E00B6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Информатика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0B6C" w:rsidTr="00E00B6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Литература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0B6C" w:rsidTr="00E00B6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Всего: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C" w:rsidRDefault="00E00B6C">
            <w:pPr>
              <w:ind w:firstLine="284"/>
              <w:jc w:val="center"/>
              <w:rPr>
                <w:color w:val="000000"/>
                <w:szCs w:val="28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C" w:rsidRDefault="00E00B6C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E00B6C" w:rsidRDefault="00E00B6C" w:rsidP="00E00B6C">
      <w:pPr>
        <w:rPr>
          <w:color w:val="000000"/>
          <w:szCs w:val="28"/>
        </w:rPr>
      </w:pPr>
      <w:bookmarkStart w:id="0" w:name="_GoBack"/>
    </w:p>
    <w:p w:rsidR="00E00B6C" w:rsidRDefault="00E00B6C" w:rsidP="00E00B6C">
      <w:pPr>
        <w:ind w:left="-284" w:right="-143"/>
        <w:jc w:val="both"/>
      </w:pPr>
      <w:r>
        <w:t xml:space="preserve">Результаты итоговой аттестации позволяют сделать вывод, что самыми востребованными для сдачи экзамена  по выбору продолжают оставаться предметы  обществознание,   биология и </w:t>
      </w:r>
      <w:r>
        <w:lastRenderedPageBreak/>
        <w:t>физика, и средний балл по этим предметам на среднем уровне. Сравнивая результаты, можно отметить, что средний балл по всем предметам в лицее выше, чем средний по району. Результаты ЕГЭ 2018 в ОУ продемонстрировали объективность выставления оценок учащимся во время промежуточной и итоговой аттестации и отрадно отметить, что снизилось количество учащихся, не набравших минимальное количество баллов с 10 до 1  по предметам по выбору, что свидетельствует  достаточной разъяснительной работе с учащимися о выборе предметов для сдачи  ЕГЭ.</w:t>
      </w:r>
    </w:p>
    <w:p w:rsidR="00E00B6C" w:rsidRDefault="00E00B6C" w:rsidP="00E00B6C">
      <w:pPr>
        <w:ind w:left="-426"/>
        <w:jc w:val="both"/>
        <w:rPr>
          <w:color w:val="000000"/>
          <w:szCs w:val="28"/>
        </w:rPr>
      </w:pPr>
    </w:p>
    <w:p w:rsidR="00E00B6C" w:rsidRDefault="00E00B6C" w:rsidP="00E00B6C">
      <w:pPr>
        <w:ind w:firstLine="284"/>
        <w:jc w:val="center"/>
        <w:rPr>
          <w:color w:val="000000"/>
          <w:szCs w:val="28"/>
        </w:rPr>
      </w:pPr>
    </w:p>
    <w:p w:rsidR="00E00B6C" w:rsidRDefault="00E00B6C" w:rsidP="00E00B6C">
      <w:pPr>
        <w:ind w:firstLine="284"/>
        <w:jc w:val="center"/>
        <w:rPr>
          <w:color w:val="000000"/>
          <w:szCs w:val="28"/>
        </w:rPr>
      </w:pPr>
      <w:r>
        <w:rPr>
          <w:color w:val="000000"/>
          <w:szCs w:val="28"/>
        </w:rPr>
        <w:t>Сравнительная диаграмма по результатам ЕГЭ за семь учебных лет</w:t>
      </w:r>
    </w:p>
    <w:p w:rsidR="00E00B6C" w:rsidRDefault="00E00B6C" w:rsidP="00E00B6C">
      <w:pPr>
        <w:ind w:firstLine="284"/>
        <w:jc w:val="center"/>
        <w:rPr>
          <w:color w:val="000000"/>
          <w:szCs w:val="28"/>
        </w:rPr>
      </w:pPr>
    </w:p>
    <w:p w:rsidR="00E00B6C" w:rsidRDefault="00E00B6C" w:rsidP="00E00B6C">
      <w:pPr>
        <w:ind w:firstLine="284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6134735" cy="165862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00B6C" w:rsidRDefault="00E00B6C" w:rsidP="00E00B6C">
      <w:pPr>
        <w:ind w:firstLine="284"/>
        <w:jc w:val="center"/>
        <w:rPr>
          <w:color w:val="000000"/>
          <w:szCs w:val="28"/>
        </w:rPr>
      </w:pPr>
    </w:p>
    <w:p w:rsidR="00E00B6C" w:rsidRDefault="00E00B6C" w:rsidP="00E00B6C">
      <w:pPr>
        <w:ind w:firstLine="284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6730365" cy="192468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0B6C" w:rsidRDefault="00E00B6C" w:rsidP="00E00B6C"/>
    <w:p w:rsidR="00E00B6C" w:rsidRDefault="00E00B6C" w:rsidP="00E00B6C">
      <w:pPr>
        <w:ind w:left="-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Данные диаграммы позволяют сделать вывод о том, что произошло незначительное снижение   среднего балла по сравнению с прошлым учебным годом только по истории 62(60). По остальным предметам мы наблюдаем рост и особенно значительный по математике 63(50), физике 63(51), химии 71(64), английскому языку 70(48) и информатике 72(35), что свидетельствует о повышении  уровня подготовки учащихся к итоговой аттестации. </w:t>
      </w:r>
    </w:p>
    <w:p w:rsidR="00E00B6C" w:rsidRDefault="00E00B6C" w:rsidP="00E00B6C">
      <w:pPr>
        <w:ind w:left="-426"/>
        <w:jc w:val="both"/>
        <w:rPr>
          <w:color w:val="000000"/>
          <w:szCs w:val="28"/>
        </w:rPr>
      </w:pPr>
      <w:r>
        <w:rPr>
          <w:color w:val="000000"/>
          <w:szCs w:val="28"/>
        </w:rPr>
        <w:t>Таким образом, результаты итоговой аттестации выпускников лицея свидетельствуют о том, что:</w:t>
      </w:r>
    </w:p>
    <w:p w:rsidR="00E00B6C" w:rsidRDefault="00E00B6C" w:rsidP="00E00B6C">
      <w:pPr>
        <w:ind w:left="-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знания выпускников соответствуют требованиям базового уровня образовательного стандарта; </w:t>
      </w:r>
    </w:p>
    <w:p w:rsidR="00E00B6C" w:rsidRDefault="00E00B6C" w:rsidP="00E00B6C">
      <w:pPr>
        <w:ind w:left="-426"/>
        <w:jc w:val="both"/>
        <w:rPr>
          <w:color w:val="000000"/>
          <w:szCs w:val="28"/>
        </w:rPr>
      </w:pPr>
      <w:r>
        <w:rPr>
          <w:color w:val="000000"/>
          <w:szCs w:val="28"/>
        </w:rPr>
        <w:t>- хорошие результаты показывают профильные предметы, которые изучаются на углубленном уровне;</w:t>
      </w:r>
    </w:p>
    <w:p w:rsidR="00E00B6C" w:rsidRDefault="00E00B6C" w:rsidP="00E00B6C">
      <w:pPr>
        <w:ind w:left="-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уровень </w:t>
      </w:r>
      <w:proofErr w:type="spellStart"/>
      <w:r>
        <w:rPr>
          <w:color w:val="000000"/>
          <w:szCs w:val="28"/>
        </w:rPr>
        <w:t>обученности</w:t>
      </w:r>
      <w:proofErr w:type="spellEnd"/>
      <w:r>
        <w:rPr>
          <w:color w:val="000000"/>
          <w:szCs w:val="28"/>
        </w:rPr>
        <w:t xml:space="preserve"> учащихся  позволяет выпускникам продолжить образовательный маршрут. </w:t>
      </w:r>
    </w:p>
    <w:p w:rsidR="00E00B6C" w:rsidRDefault="00E00B6C" w:rsidP="00E00B6C">
      <w:pPr>
        <w:ind w:left="-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Учителям предметникам на заседаниях МО необходимо провести качественный анализ результатов ГИА, выяснить причины снижения (если они есть) и повышения качества знаний, следует обратить внимание на   выявление пробелов в знаниях учащихся и провести соответствующую работу по формированию навыков грамотности и поисков новых методических  приемов изложения трудных для учащихся вопросов.           </w:t>
      </w:r>
      <w:bookmarkEnd w:id="0"/>
    </w:p>
    <w:p w:rsidR="00300D9E" w:rsidRDefault="00300D9E"/>
    <w:sectPr w:rsidR="00300D9E" w:rsidSect="003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E00B6C"/>
    <w:rsid w:val="00300D9E"/>
    <w:rsid w:val="00E0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00B6C"/>
  </w:style>
  <w:style w:type="paragraph" w:styleId="a4">
    <w:name w:val="No Spacing"/>
    <w:link w:val="a3"/>
    <w:uiPriority w:val="1"/>
    <w:qFormat/>
    <w:rsid w:val="00E00B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0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164037854889635E-2"/>
          <c:y val="9.7560975609756156E-2"/>
          <c:w val="0.84227129337539475"/>
          <c:h val="0.6951219512195124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2011-12</c:v>
                </c:pt>
              </c:strCache>
            </c:strRef>
          </c:tx>
          <c:spPr>
            <a:solidFill>
              <a:srgbClr val="9999FF"/>
            </a:solidFill>
            <a:ln w="1344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73</c:v>
                </c:pt>
                <c:pt idx="1">
                  <c:v>66</c:v>
                </c:pt>
                <c:pt idx="2">
                  <c:v>69</c:v>
                </c:pt>
                <c:pt idx="3">
                  <c:v>71</c:v>
                </c:pt>
                <c:pt idx="4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2012-13</c:v>
                </c:pt>
              </c:strCache>
            </c:strRef>
          </c:tx>
          <c:spPr>
            <a:solidFill>
              <a:srgbClr val="993366"/>
            </a:solidFill>
            <a:ln w="1344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73</c:v>
                </c:pt>
                <c:pt idx="1">
                  <c:v>66</c:v>
                </c:pt>
                <c:pt idx="2">
                  <c:v>70</c:v>
                </c:pt>
                <c:pt idx="3">
                  <c:v>71</c:v>
                </c:pt>
                <c:pt idx="4">
                  <c:v>71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FFFFCC"/>
            </a:solidFill>
            <a:ln w="1344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61</c:v>
                </c:pt>
                <c:pt idx="1">
                  <c:v>47</c:v>
                </c:pt>
                <c:pt idx="2">
                  <c:v>59</c:v>
                </c:pt>
                <c:pt idx="3">
                  <c:v>37</c:v>
                </c:pt>
                <c:pt idx="4">
                  <c:v>49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CCFFFF"/>
            </a:solidFill>
            <a:ln w="1344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72</c:v>
                </c:pt>
                <c:pt idx="1">
                  <c:v>55</c:v>
                </c:pt>
                <c:pt idx="2">
                  <c:v>64</c:v>
                </c:pt>
                <c:pt idx="3">
                  <c:v>56</c:v>
                </c:pt>
                <c:pt idx="4">
                  <c:v>65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660066"/>
            </a:solidFill>
            <a:ln w="1344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обществозн.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70</c:v>
                </c:pt>
                <c:pt idx="1">
                  <c:v>49</c:v>
                </c:pt>
                <c:pt idx="2">
                  <c:v>58</c:v>
                </c:pt>
                <c:pt idx="3">
                  <c:v>54</c:v>
                </c:pt>
                <c:pt idx="4">
                  <c:v>58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8080"/>
            </a:solidFill>
            <a:ln w="1344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обществозн.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70</c:v>
                </c:pt>
                <c:pt idx="1">
                  <c:v>50</c:v>
                </c:pt>
                <c:pt idx="2">
                  <c:v>58</c:v>
                </c:pt>
                <c:pt idx="3">
                  <c:v>62</c:v>
                </c:pt>
                <c:pt idx="4">
                  <c:v>59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0066CC"/>
            </a:solidFill>
            <a:ln w="1344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обществозн.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  <c:pt idx="0">
                  <c:v>75</c:v>
                </c:pt>
                <c:pt idx="1">
                  <c:v>63</c:v>
                </c:pt>
                <c:pt idx="2">
                  <c:v>66</c:v>
                </c:pt>
                <c:pt idx="3">
                  <c:v>60</c:v>
                </c:pt>
                <c:pt idx="4">
                  <c:v>64</c:v>
                </c:pt>
              </c:numCache>
            </c:numRef>
          </c:val>
        </c:ser>
        <c:gapDepth val="0"/>
        <c:shape val="box"/>
        <c:axId val="148218624"/>
        <c:axId val="148220160"/>
        <c:axId val="0"/>
      </c:bar3DChart>
      <c:catAx>
        <c:axId val="148218624"/>
        <c:scaling>
          <c:orientation val="minMax"/>
        </c:scaling>
        <c:axPos val="b"/>
        <c:numFmt formatCode="General" sourceLinked="1"/>
        <c:tickLblPos val="low"/>
        <c:spPr>
          <a:ln w="33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220160"/>
        <c:crosses val="autoZero"/>
        <c:auto val="1"/>
        <c:lblAlgn val="ctr"/>
        <c:lblOffset val="100"/>
        <c:tickLblSkip val="1"/>
        <c:tickMarkSkip val="1"/>
      </c:catAx>
      <c:valAx>
        <c:axId val="148220160"/>
        <c:scaling>
          <c:orientation val="minMax"/>
        </c:scaling>
        <c:axPos val="l"/>
        <c:majorGridlines>
          <c:spPr>
            <a:ln w="33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218624"/>
        <c:crosses val="autoZero"/>
        <c:crossBetween val="between"/>
      </c:valAx>
      <c:spPr>
        <a:noFill/>
        <a:ln w="26884">
          <a:noFill/>
        </a:ln>
      </c:spPr>
    </c:plotArea>
    <c:legend>
      <c:legendPos val="r"/>
      <c:layout>
        <c:manualLayout>
          <c:xMode val="edge"/>
          <c:yMode val="edge"/>
          <c:x val="0.90378548895899069"/>
          <c:y val="9.1463414634146339E-2"/>
          <c:w val="8.9905362776025316E-2"/>
          <c:h val="0.81707317073170727"/>
        </c:manualLayout>
      </c:layout>
      <c:spPr>
        <a:noFill/>
        <a:ln w="3361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172166427546646E-2"/>
          <c:y val="8.8541666666666741E-2"/>
          <c:w val="0.81492109038737481"/>
          <c:h val="0.734375000000000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2011-12уч.год</c:v>
                </c:pt>
              </c:strCache>
            </c:strRef>
          </c:tx>
          <c:spPr>
            <a:solidFill>
              <a:srgbClr val="9999FF"/>
            </a:solidFill>
            <a:ln w="13433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литература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60</c:v>
                </c:pt>
                <c:pt idx="1">
                  <c:v>80</c:v>
                </c:pt>
                <c:pt idx="2">
                  <c:v>53</c:v>
                </c:pt>
                <c:pt idx="3">
                  <c:v>68</c:v>
                </c:pt>
                <c:pt idx="4">
                  <c:v>55</c:v>
                </c:pt>
                <c:pt idx="5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2012-13уч.год</c:v>
                </c:pt>
              </c:strCache>
            </c:strRef>
          </c:tx>
          <c:spPr>
            <a:solidFill>
              <a:srgbClr val="993366"/>
            </a:solidFill>
            <a:ln w="13433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литература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75</c:v>
                </c:pt>
                <c:pt idx="1">
                  <c:v>79</c:v>
                </c:pt>
                <c:pt idx="3">
                  <c:v>79</c:v>
                </c:pt>
                <c:pt idx="4">
                  <c:v>76</c:v>
                </c:pt>
                <c:pt idx="5">
                  <c:v>83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2013-14уч.год</c:v>
                </c:pt>
              </c:strCache>
            </c:strRef>
          </c:tx>
          <c:spPr>
            <a:solidFill>
              <a:srgbClr val="FFFFCC"/>
            </a:solidFill>
            <a:ln w="13433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литература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51</c:v>
                </c:pt>
                <c:pt idx="1">
                  <c:v>57</c:v>
                </c:pt>
                <c:pt idx="2">
                  <c:v>42</c:v>
                </c:pt>
                <c:pt idx="3">
                  <c:v>22</c:v>
                </c:pt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2014-15уч.год</c:v>
                </c:pt>
              </c:strCache>
            </c:strRef>
          </c:tx>
          <c:spPr>
            <a:solidFill>
              <a:srgbClr val="CCFFFF"/>
            </a:solidFill>
            <a:ln w="13433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литература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58</c:v>
                </c:pt>
                <c:pt idx="1">
                  <c:v>62</c:v>
                </c:pt>
                <c:pt idx="2">
                  <c:v>68</c:v>
                </c:pt>
                <c:pt idx="3">
                  <c:v>75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2015-16уч.год</c:v>
                </c:pt>
              </c:strCache>
            </c:strRef>
          </c:tx>
          <c:spPr>
            <a:solidFill>
              <a:srgbClr val="660066"/>
            </a:solidFill>
            <a:ln w="13433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литература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58</c:v>
                </c:pt>
                <c:pt idx="1">
                  <c:v>59</c:v>
                </c:pt>
                <c:pt idx="2">
                  <c:v>50</c:v>
                </c:pt>
                <c:pt idx="3">
                  <c:v>70</c:v>
                </c:pt>
                <c:pt idx="4">
                  <c:v>50</c:v>
                </c:pt>
                <c:pt idx="5">
                  <c:v>62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2016-17уч.г.</c:v>
                </c:pt>
              </c:strCache>
            </c:strRef>
          </c:tx>
          <c:spPr>
            <a:solidFill>
              <a:srgbClr val="FF8080"/>
            </a:solidFill>
            <a:ln w="13433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литература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  <c:pt idx="0">
                  <c:v>51</c:v>
                </c:pt>
                <c:pt idx="1">
                  <c:v>64</c:v>
                </c:pt>
                <c:pt idx="2">
                  <c:v>40</c:v>
                </c:pt>
                <c:pt idx="3">
                  <c:v>48</c:v>
                </c:pt>
                <c:pt idx="4">
                  <c:v>35</c:v>
                </c:pt>
                <c:pt idx="5">
                  <c:v>55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2017-18 уч.г</c:v>
                </c:pt>
              </c:strCache>
            </c:strRef>
          </c:tx>
          <c:spPr>
            <a:solidFill>
              <a:srgbClr val="0066CC"/>
            </a:solidFill>
            <a:ln w="13433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литература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  <c:pt idx="0">
                  <c:v>63</c:v>
                </c:pt>
                <c:pt idx="1">
                  <c:v>71</c:v>
                </c:pt>
                <c:pt idx="2">
                  <c:v>49</c:v>
                </c:pt>
                <c:pt idx="3">
                  <c:v>70</c:v>
                </c:pt>
                <c:pt idx="4">
                  <c:v>72</c:v>
                </c:pt>
              </c:numCache>
            </c:numRef>
          </c:val>
        </c:ser>
        <c:gapDepth val="0"/>
        <c:shape val="box"/>
        <c:axId val="148167296"/>
        <c:axId val="98443648"/>
        <c:axId val="0"/>
      </c:bar3DChart>
      <c:catAx>
        <c:axId val="148167296"/>
        <c:scaling>
          <c:orientation val="minMax"/>
        </c:scaling>
        <c:axPos val="b"/>
        <c:numFmt formatCode="General" sourceLinked="1"/>
        <c:tickLblPos val="low"/>
        <c:spPr>
          <a:ln w="33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443648"/>
        <c:crosses val="autoZero"/>
        <c:auto val="1"/>
        <c:lblAlgn val="ctr"/>
        <c:lblOffset val="100"/>
        <c:tickLblSkip val="1"/>
        <c:tickMarkSkip val="1"/>
      </c:catAx>
      <c:valAx>
        <c:axId val="98443648"/>
        <c:scaling>
          <c:orientation val="minMax"/>
        </c:scaling>
        <c:axPos val="l"/>
        <c:majorGridlines>
          <c:spPr>
            <a:ln w="33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167296"/>
        <c:crosses val="autoZero"/>
        <c:crossBetween val="between"/>
      </c:valAx>
      <c:spPr>
        <a:noFill/>
        <a:ln w="26866">
          <a:noFill/>
        </a:ln>
      </c:spPr>
    </c:plotArea>
    <c:legend>
      <c:legendPos val="r"/>
      <c:layout>
        <c:manualLayout>
          <c:xMode val="edge"/>
          <c:yMode val="edge"/>
          <c:x val="0.87087517934002889"/>
          <c:y val="0.15104166666666671"/>
          <c:w val="0.12338593974175038"/>
          <c:h val="0.69791666666666652"/>
        </c:manualLayout>
      </c:layout>
      <c:spPr>
        <a:noFill/>
        <a:ln w="3358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2019-02-06T14:15:00Z</dcterms:created>
  <dcterms:modified xsi:type="dcterms:W3CDTF">2019-02-06T14:15:00Z</dcterms:modified>
</cp:coreProperties>
</file>